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F5C67" w14:textId="77777777" w:rsidR="002C1012" w:rsidRPr="009F20E2" w:rsidRDefault="002C1012" w:rsidP="002C1012">
      <w:pPr>
        <w:pStyle w:val="Estilo3"/>
        <w:rPr>
          <w:rFonts w:ascii="Calibri" w:hAnsi="Calibri"/>
          <w:b w:val="0"/>
        </w:rPr>
      </w:pPr>
      <w:bookmarkStart w:id="0" w:name="_GoBack"/>
      <w:bookmarkEnd w:id="0"/>
      <w:r>
        <w:rPr>
          <w:rFonts w:ascii="Calibri" w:hAnsi="Calibri"/>
          <w:b w:val="0"/>
        </w:rPr>
        <w:t>FECHA EMISIÓN</w:t>
      </w:r>
      <w:r w:rsidRPr="009F20E2">
        <w:rPr>
          <w:rFonts w:ascii="Calibri" w:hAnsi="Calibri"/>
          <w:b w:val="0"/>
        </w:rPr>
        <w:t>:</w:t>
      </w:r>
    </w:p>
    <w:sdt>
      <w:sdtPr>
        <w:rPr>
          <w:rFonts w:ascii="Calibri" w:hAnsi="Calibri"/>
        </w:rPr>
        <w:alias w:val="FechaEmision"/>
        <w:tag w:val="FechaEmision"/>
        <w:id w:val="1605152316"/>
        <w:placeholder>
          <w:docPart w:val="AAC1E8048F074EF0B9AE5FC64C4ABD8B"/>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FechaEmision[1]" w:storeItemID="{D96A8AC4-37BB-4A43-8CDB-F362B3909531}"/>
        <w:date w:fullDate="2017-02-13T00:00:00Z">
          <w:dateFormat w:val="dd/MM/yyyy"/>
          <w:lid w:val="es-ES"/>
          <w:storeMappedDataAs w:val="dateTime"/>
          <w:calendar w:val="gregorian"/>
        </w:date>
      </w:sdtPr>
      <w:sdtEndPr/>
      <w:sdtContent>
        <w:p w14:paraId="0ED8AF31" w14:textId="77777777" w:rsidR="002C1012" w:rsidRPr="007E1698" w:rsidRDefault="00AF250B" w:rsidP="002C1012">
          <w:pPr>
            <w:jc w:val="both"/>
            <w:rPr>
              <w:rFonts w:ascii="Calibri" w:hAnsi="Calibri"/>
            </w:rPr>
          </w:pPr>
          <w:r>
            <w:rPr>
              <w:rFonts w:ascii="Calibri" w:hAnsi="Calibri"/>
              <w:lang w:val="es-ES"/>
            </w:rPr>
            <w:t>13/02/2017</w:t>
          </w:r>
        </w:p>
      </w:sdtContent>
    </w:sdt>
    <w:p w14:paraId="29C5A120" w14:textId="77777777" w:rsidR="003560C6" w:rsidRPr="009F20E2" w:rsidRDefault="003560C6" w:rsidP="003560C6">
      <w:pPr>
        <w:pStyle w:val="Estilo3"/>
        <w:rPr>
          <w:rFonts w:ascii="Calibri" w:hAnsi="Calibri"/>
          <w:b w:val="0"/>
          <w:szCs w:val="22"/>
        </w:rPr>
      </w:pPr>
      <w:r w:rsidRPr="009F20E2">
        <w:rPr>
          <w:rFonts w:ascii="Calibri" w:hAnsi="Calibri"/>
          <w:b w:val="0"/>
          <w:szCs w:val="22"/>
        </w:rPr>
        <w:t>ÓRGANO EMISOR:</w:t>
      </w:r>
    </w:p>
    <w:sdt>
      <w:sdtPr>
        <w:rPr>
          <w:rFonts w:ascii="Calibri" w:hAnsi="Calibri"/>
        </w:rPr>
        <w:alias w:val="OrganoEmisor"/>
        <w:tag w:val="f3a4dcbeeb8f4ee8b4eaebbb041c230f"/>
        <w:id w:val="1963762888"/>
        <w:lock w:val="contentLocked"/>
        <w:placeholder>
          <w:docPart w:val="3A11538F91614F86BB7A3CF6BE0CB043"/>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f3a4dcbeeb8f4ee8b4eaebbb041c230f[1]/ns2:Terms[1]" w:storeItemID="{D96A8AC4-37BB-4A43-8CDB-F362B3909531}"/>
        <w:text w:multiLine="1"/>
      </w:sdtPr>
      <w:sdtEndPr/>
      <w:sdtContent>
        <w:p w14:paraId="1DC3168E" w14:textId="77777777" w:rsidR="003560C6" w:rsidRDefault="00AF250B" w:rsidP="003560C6">
          <w:pPr>
            <w:jc w:val="both"/>
            <w:rPr>
              <w:rFonts w:ascii="Calibri" w:hAnsi="Calibri"/>
            </w:rPr>
          </w:pPr>
          <w:r>
            <w:rPr>
              <w:rFonts w:ascii="Calibri" w:hAnsi="Calibri"/>
            </w:rPr>
            <w:t>INTERVENCIÓN GENERAL DE LA ADMINISTRACIÓN DEL ESTADO</w:t>
          </w:r>
        </w:p>
      </w:sdtContent>
    </w:sdt>
    <w:p w14:paraId="6044F577" w14:textId="77777777" w:rsidR="002C1012" w:rsidRPr="009F20E2" w:rsidRDefault="002C1012" w:rsidP="002C1012">
      <w:pPr>
        <w:pStyle w:val="Estilo3"/>
        <w:rPr>
          <w:rFonts w:ascii="Calibri" w:hAnsi="Calibri"/>
          <w:b w:val="0"/>
        </w:rPr>
      </w:pPr>
      <w:r w:rsidRPr="009F20E2">
        <w:rPr>
          <w:rFonts w:ascii="Calibri" w:hAnsi="Calibri"/>
          <w:b w:val="0"/>
        </w:rPr>
        <w:t>PUBLICACIÓN:</w:t>
      </w:r>
    </w:p>
    <w:sdt>
      <w:sdtPr>
        <w:alias w:val="Publicacion"/>
        <w:tag w:val="Publicacion"/>
        <w:id w:val="2100061138"/>
        <w:placeholder>
          <w:docPart w:val="DAAD58513891406F9F5AA46A00252539"/>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Publicacion[1]" w:storeItemID="{D96A8AC4-37BB-4A43-8CDB-F362B3909531}"/>
        <w:text/>
      </w:sdtPr>
      <w:sdtEndPr/>
      <w:sdtContent>
        <w:p w14:paraId="5089B2B1" w14:textId="77777777" w:rsidR="002C1012" w:rsidRDefault="00AF250B" w:rsidP="002C1012">
          <w:pPr>
            <w:rPr>
              <w:rFonts w:ascii="Calibri" w:hAnsi="Calibri"/>
            </w:rPr>
          </w:pPr>
          <w:r>
            <w:t>BOLETÍN INFORMATIVO DE LA IGAE</w:t>
          </w:r>
        </w:p>
      </w:sdtContent>
    </w:sdt>
    <w:p w14:paraId="4D990FAF" w14:textId="77777777" w:rsidR="002C1012" w:rsidRPr="009F20E2" w:rsidRDefault="002C1012" w:rsidP="002C1012">
      <w:pPr>
        <w:pStyle w:val="Estilo3"/>
        <w:rPr>
          <w:b w:val="0"/>
          <w:szCs w:val="22"/>
        </w:rPr>
      </w:pPr>
      <w:r w:rsidRPr="009F20E2">
        <w:rPr>
          <w:b w:val="0"/>
          <w:szCs w:val="22"/>
        </w:rPr>
        <w:t>TÍTULO:</w:t>
      </w:r>
    </w:p>
    <w:sdt>
      <w:sdtPr>
        <w:rPr>
          <w:rFonts w:ascii="Calibri" w:eastAsia="SimSun" w:hAnsi="Calibri" w:cs="Arial"/>
          <w:lang w:val="es-ES"/>
        </w:rPr>
        <w:alias w:val="TituloInforme"/>
        <w:tag w:val="TituloInforme"/>
        <w:id w:val="-2035411336"/>
        <w:placeholder>
          <w:docPart w:val="EB90FA43F9E441AAB3F916DA1CCB713E"/>
        </w:placeholder>
        <w:dataBinding w:prefixMappings="xmlns:ns0='http://schemas.microsoft.com/office/2006/metadata/properties' xmlns:ns1='http://www.w3.org/2001/XMLSchema-instance' xmlns:ns2='http://schemas.microsoft.com/office/infopath/2007/PartnerControls' xmlns:ns3='5305e957-1fed-402c-9ece-fb829f0b190f' " w:xpath="/ns0:properties[1]/documentManagement[1]/ns3:TituloInforme[1]" w:storeItemID="{D96A8AC4-37BB-4A43-8CDB-F362B3909531}"/>
        <w:text w:multiLine="1"/>
      </w:sdtPr>
      <w:sdtEndPr/>
      <w:sdtContent>
        <w:p w14:paraId="03FB8F2F" w14:textId="77777777" w:rsidR="002C1012" w:rsidRDefault="00AF250B" w:rsidP="002C1012">
          <w:pPr>
            <w:jc w:val="both"/>
          </w:pPr>
          <w:r w:rsidRPr="00AF250B">
            <w:rPr>
              <w:rFonts w:ascii="Calibri" w:eastAsia="SimSun" w:hAnsi="Calibri" w:cs="Arial"/>
              <w:lang w:val="es-ES"/>
            </w:rPr>
            <w:t>Consulta 1/2017 (PGCPL), de 13 de febrero, sobre si las cuentas restringidas en Entidades financieras Colaboradoras deben figurar en la contabilidad municipal.</w:t>
          </w:r>
        </w:p>
      </w:sdtContent>
    </w:sdt>
    <w:p w14:paraId="64B0B30C" w14:textId="77777777" w:rsidR="00AF250B" w:rsidRDefault="002C1012" w:rsidP="00AE47BB">
      <w:pPr>
        <w:pStyle w:val="Estilo3"/>
        <w:rPr>
          <w:b w:val="0"/>
          <w:szCs w:val="22"/>
        </w:rPr>
      </w:pPr>
      <w:r>
        <w:rPr>
          <w:b w:val="0"/>
          <w:szCs w:val="22"/>
        </w:rPr>
        <w:t>TEXTO</w:t>
      </w:r>
      <w:r w:rsidRPr="009F20E2">
        <w:rPr>
          <w:b w:val="0"/>
          <w:szCs w:val="22"/>
        </w:rPr>
        <w:t>:</w:t>
      </w:r>
    </w:p>
    <w:p w14:paraId="69D1BD4E" w14:textId="77777777" w:rsidR="00AF250B" w:rsidRDefault="00AF250B" w:rsidP="00AF250B">
      <w:pPr>
        <w:rPr>
          <w:lang w:val="es-ES" w:eastAsia="es-ES"/>
        </w:rPr>
      </w:pPr>
    </w:p>
    <w:p w14:paraId="2E585365" w14:textId="77777777" w:rsidR="00AF250B" w:rsidRPr="006B1319" w:rsidRDefault="00AF250B" w:rsidP="00AF250B">
      <w:pPr>
        <w:widowControl w:val="0"/>
        <w:spacing w:after="120"/>
        <w:jc w:val="both"/>
        <w:rPr>
          <w:rFonts w:cs="Arial"/>
          <w:lang w:val="es-ES"/>
        </w:rPr>
      </w:pPr>
      <w:r w:rsidRPr="006B1319">
        <w:rPr>
          <w:rFonts w:cs="Arial"/>
          <w:b/>
          <w:lang w:val="es-ES"/>
        </w:rPr>
        <w:t xml:space="preserve">Consulta: </w:t>
      </w:r>
      <w:r w:rsidRPr="006B1319">
        <w:rPr>
          <w:rFonts w:cs="Arial"/>
          <w:lang w:val="es-ES"/>
        </w:rPr>
        <w:t>Un Ayuntamiento plantea una consulta relativa a si las cuentas restringidas que abren las Entidades financieras Colaboradoras en la recaudación de tributos y otros ingresos municipales deben figurar o no en la contabilidad municipal.</w:t>
      </w:r>
    </w:p>
    <w:p w14:paraId="0D841F6A" w14:textId="77777777" w:rsidR="00AF250B" w:rsidRPr="006B1319" w:rsidRDefault="00AF250B" w:rsidP="00AF250B">
      <w:pPr>
        <w:widowControl w:val="0"/>
        <w:spacing w:after="120"/>
        <w:jc w:val="both"/>
        <w:rPr>
          <w:rFonts w:cs="Arial"/>
          <w:lang w:val="es-ES"/>
        </w:rPr>
      </w:pPr>
    </w:p>
    <w:p w14:paraId="20B5D131" w14:textId="77777777" w:rsidR="00AF250B" w:rsidRPr="006B1319" w:rsidRDefault="00AF250B" w:rsidP="00AF250B">
      <w:pPr>
        <w:widowControl w:val="0"/>
        <w:spacing w:after="120"/>
        <w:jc w:val="both"/>
        <w:rPr>
          <w:rFonts w:cs="Arial"/>
          <w:lang w:val="es-ES"/>
        </w:rPr>
      </w:pPr>
      <w:r w:rsidRPr="006B1319">
        <w:rPr>
          <w:rFonts w:cs="Arial"/>
          <w:b/>
          <w:lang w:val="es-ES"/>
        </w:rPr>
        <w:t>Respuesta:</w:t>
      </w:r>
    </w:p>
    <w:p w14:paraId="7A271AAA"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Tal y como se hace constar en el texto de la consulta, el Reglamento General de Recaudación, aprobado por Real Decreto 939/2005, de 29 de julio, resulta de aplicación a las entidades locales, en virtud de lo dispuesto en el artículo 12.1 del Texto Refundido de la Ley Reguladora de las Haciendas Locales (en adelante TRLRHL), aprobado por Real Decreto Legislativo 2/2004, de 5 de marzo: «La gestión, liquidación, inspección y recaudación de los tributos locales se realizará de acuerdo con lo prevenido en la Ley General Tributaria y en las demás leyes del Estado reguladoras de la materia, así como en las disposiciones dictadas para su desarrollo». Y, entre estas disposiciones, cabe citar la Orden EHA/2017/2007, de 28 de junio, por la que se desarrolla parcialmente el Reglamento General de Recaudación, en relación con las entidades de crédito que prestan el servicio de colaboración en la gestión recaudatoria de la Agencia Estatal de Administración Tributaria.</w:t>
      </w:r>
    </w:p>
    <w:p w14:paraId="4936F21B"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El artículo 29 del Reglamento General de Recaudación, en su apartado 3, dispone que «</w:t>
      </w:r>
      <w:r w:rsidRPr="006B1319">
        <w:rPr>
          <w:rFonts w:cs="Arial"/>
          <w:i/>
          <w:lang w:val="es-ES"/>
        </w:rPr>
        <w:t>Las entidades colaboradoras de los órganos del Estado, comunidades autónomas o entidades locales se regirán, en esta materia, por las disposiciones específicas aplicables dictadas por dichos órganos y, en ausencia de estas, por lo dispuesto en este artículo.</w:t>
      </w:r>
      <w:r w:rsidRPr="006B1319">
        <w:rPr>
          <w:rFonts w:cs="Arial"/>
          <w:lang w:val="es-ES"/>
        </w:rPr>
        <w:t>»</w:t>
      </w:r>
    </w:p>
    <w:p w14:paraId="5BF2C382"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Con carácter general, las entidades financieras pueden colaborar con las Entidades locales en la recaudación de sus tributos de dos maneras: actuando como «Entidades Colaboradoras» de las previstas en el artículo 9.1 del Reglamento General de Recaudación cuando hayan sido autorizadas para ello, o actuando sin dicha condición de «Entidades colaboradoras». Estos dos modos de actuación de las entidades financieras en relación con la gestión recaudatoria se deducen de los lugares de realización de los ingresos previstos en el artículo 12 del Reglamento General de Recaudación, en sus apartados “c) En las entidades colaboradoras a las que se refiere el artículo 9.1” y “e) En las cuentas restringidas abiertas en entidades de crédito”. A estas últimas cuentas restringidas de recaudación se refiere el artículo 197.1b) del TRLRHL.</w:t>
      </w:r>
    </w:p>
    <w:p w14:paraId="0B4339EE"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 xml:space="preserve">Trasladando el artículo 5 de la citada Orden EHA/2017/2007 al ámbito local, las entidades de crédito autorizadas para actuar como colaboradoras en la gestión recaudatoria de una entidad local recogerán </w:t>
      </w:r>
      <w:r w:rsidRPr="006B1319">
        <w:rPr>
          <w:rFonts w:cs="Arial"/>
          <w:lang w:val="es-ES"/>
        </w:rPr>
        <w:lastRenderedPageBreak/>
        <w:t>en cuentas restringidas los ingresos que resulten de los documentos presentados a tal fin por los obligados al pago, entendiendo a estos efectos por cuenta restringida la cuenta corriente sin retribución y sin devengo de comisión alguna en la que sólo se pueden efectuar anotaciones en concepto de abonos y una única anotación por adeudo cada quincena para proceder a ingresar el saldo de la misma en una cuenta de la Tesorería de la entidad local (no obstante, podrán efectuarse anotaciones por rectificación de errores debidamente justificados). En términos similares describe las cuentas restringidas de recaudación en Entidades Colaboradoras el Cuaderno 60 “Recaudación de tributos y otros ingresos municipales”, de la Serie Normas y procedimientos bancarios, que establece el procedimiento normalizado único para el cobro de tributos y otros ingresos de las entidades locales en cualquier entidad de crédito operante en España.</w:t>
      </w:r>
    </w:p>
    <w:p w14:paraId="2D1221EC"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Si bien, de acuerdo con los citados artículo 5 de la Orden EHA/2017/2007 y Cuaderno 60, la codificación de dichas cuentas restringidas en Entidades Colaboradoras se ajusta a la establecida en el sistema financiero de Código Cuenta Cliente (adaptado al código IBAN) y se abren a nombre de la entidad local a la que se presta el servicio (se les asigna su Número de Identificación Fiscal), estas cuentas deben ser calificadas de instrumentales ya que son de uso exclusivo por las entidades financieras para la gestión recaudatoria, no pudiendo intervenir en su gestión la entidad local, y por ello los fondos recaudados no forman parte de su Tesorería hasta que no son traspasados a una cuenta ordinaria de la entidad local.</w:t>
      </w:r>
    </w:p>
    <w:p w14:paraId="2BAC38FF"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Esta indisponibilidad de los fondos existentes en las cuentas restringidas en Entidades Colaboradoras impide que la entidad local pueda hacer frente con ellos al pago de sus obligaciones o pueda rentabilizarlos, en tanto no sean traspasados a una cuenta que sí forme parte de su Tesorería (la ordinaria designada por la entidad local).</w:t>
      </w:r>
    </w:p>
    <w:p w14:paraId="09135573"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La cuenta ordinaria de la entidad local que reciba los traspasos de fondos desde las Entidades Colaboradoras podrá ser operativa o restringida de recaudación, según la naturaleza que le haya atribuido la propia entidad local. Cualquiera que sea su naturaleza, operativa o restringida de recaudación, dicha cuenta se integrará en su Tesorería y el saldo que presente a 31 de diciembre de cada año figurará en el Activo del Balance, epígrafe B.VII “Efectivo y otros activos líquidos equivalentes”.</w:t>
      </w:r>
    </w:p>
    <w:p w14:paraId="45C1C2D7"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A modo de conclusión, podemos decir que las cuentas restringidas que deben abrir las Entidades Colaboradoras a que se refiere el artículo 9.1 del Reglamento General de Recaudación no forman parte de la Tesorería de la entidad local y, en consecuencia, su saldo no deberá figurar en el epígrafe B.VII “Efectivo y otros activos líquidos equivalentes” del Activo del balance.</w:t>
      </w:r>
    </w:p>
    <w:p w14:paraId="355C966F"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Por último, si bien se trata de una cuestión no planteada en su consulta, estimamos conveniente recordar el tratamiento contable a seguir en las entidades locales para reflejar las operaciones derivadas de la recaudación a través de las Entidades Colaboradoras del artículo 9.1 del Reglamento General de Recaudación.</w:t>
      </w:r>
    </w:p>
    <w:p w14:paraId="3C04027B" w14:textId="77777777" w:rsidR="00AF250B" w:rsidRPr="006B1319" w:rsidRDefault="00AF250B" w:rsidP="00AF250B">
      <w:pPr>
        <w:widowControl w:val="0"/>
        <w:tabs>
          <w:tab w:val="left" w:pos="284"/>
          <w:tab w:val="left" w:pos="567"/>
          <w:tab w:val="left" w:pos="851"/>
          <w:tab w:val="left" w:pos="1134"/>
          <w:tab w:val="left" w:pos="1162"/>
          <w:tab w:val="left" w:pos="1418"/>
        </w:tabs>
        <w:spacing w:after="120"/>
        <w:jc w:val="both"/>
        <w:rPr>
          <w:rFonts w:cs="Arial"/>
          <w:lang w:val="es-ES"/>
        </w:rPr>
      </w:pPr>
      <w:r w:rsidRPr="006B1319">
        <w:rPr>
          <w:rFonts w:cs="Arial"/>
          <w:lang w:val="es-ES"/>
        </w:rPr>
        <w:t>Dicho tratamiento contable responderá al siguiente esquema general:</w:t>
      </w:r>
    </w:p>
    <w:p w14:paraId="00E00094" w14:textId="77777777" w:rsidR="00AF250B" w:rsidRPr="006B1319" w:rsidRDefault="00AF250B" w:rsidP="00AF250B">
      <w:pPr>
        <w:widowControl w:val="0"/>
        <w:numPr>
          <w:ilvl w:val="0"/>
          <w:numId w:val="2"/>
        </w:numPr>
        <w:tabs>
          <w:tab w:val="left" w:pos="284"/>
          <w:tab w:val="left" w:pos="567"/>
          <w:tab w:val="left" w:pos="851"/>
          <w:tab w:val="left" w:pos="1134"/>
          <w:tab w:val="left" w:pos="1162"/>
          <w:tab w:val="left" w:pos="1418"/>
        </w:tabs>
        <w:spacing w:after="120"/>
        <w:ind w:left="567" w:hanging="210"/>
        <w:jc w:val="both"/>
        <w:rPr>
          <w:rFonts w:cs="Arial"/>
        </w:rPr>
      </w:pPr>
      <w:r w:rsidRPr="006B1319">
        <w:rPr>
          <w:rFonts w:cs="Arial"/>
        </w:rPr>
        <w:t>Cuando se produzca el traspaso de fondos correspondiente a cada quincena de las cuentas restringidas en Entidades Colaboradoras a la cuenta ordinaria de la entidad local, por la aplicación provisional de los cobros:</w:t>
      </w:r>
    </w:p>
    <w:tbl>
      <w:tblPr>
        <w:tblW w:w="7833" w:type="dxa"/>
        <w:jc w:val="center"/>
        <w:tblLayout w:type="fixed"/>
        <w:tblCellMar>
          <w:left w:w="70" w:type="dxa"/>
          <w:right w:w="70" w:type="dxa"/>
        </w:tblCellMar>
        <w:tblLook w:val="0000" w:firstRow="0" w:lastRow="0" w:firstColumn="0" w:lastColumn="0" w:noHBand="0" w:noVBand="0"/>
      </w:tblPr>
      <w:tblGrid>
        <w:gridCol w:w="160"/>
        <w:gridCol w:w="7513"/>
        <w:gridCol w:w="160"/>
      </w:tblGrid>
      <w:tr w:rsidR="00AF250B" w:rsidRPr="006B1319" w14:paraId="715DA4A6" w14:textId="77777777" w:rsidTr="0068477F">
        <w:trPr>
          <w:cantSplit/>
          <w:trHeight w:val="375"/>
          <w:jc w:val="center"/>
        </w:trPr>
        <w:tc>
          <w:tcPr>
            <w:tcW w:w="160" w:type="dxa"/>
          </w:tcPr>
          <w:p w14:paraId="2C82E3B7" w14:textId="77777777" w:rsidR="00AF250B" w:rsidRPr="006B1319" w:rsidRDefault="00AF250B" w:rsidP="0068477F">
            <w:pPr>
              <w:widowControl w:val="0"/>
              <w:spacing w:before="120" w:after="160" w:line="259" w:lineRule="auto"/>
              <w:rPr>
                <w:rFonts w:eastAsia="Calibri" w:cs="Tahoma"/>
                <w:lang w:val="es-ES" w:eastAsia="en-US"/>
              </w:rPr>
            </w:pPr>
          </w:p>
        </w:tc>
        <w:tc>
          <w:tcPr>
            <w:tcW w:w="7513" w:type="dxa"/>
          </w:tcPr>
          <w:p w14:paraId="3466B4EE"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6337DE72" w14:textId="77777777" w:rsidR="00AF250B" w:rsidRPr="006B1319" w:rsidRDefault="00AF250B" w:rsidP="0068477F">
            <w:pPr>
              <w:widowControl w:val="0"/>
              <w:spacing w:before="120" w:after="160" w:line="259" w:lineRule="auto"/>
              <w:rPr>
                <w:rFonts w:eastAsia="Calibri" w:cs="Tahoma"/>
                <w:lang w:val="es-ES" w:eastAsia="en-US"/>
              </w:rPr>
            </w:pPr>
          </w:p>
        </w:tc>
      </w:tr>
      <w:tr w:rsidR="00AF250B" w:rsidRPr="006B1319" w14:paraId="1C9D7B87" w14:textId="77777777" w:rsidTr="0068477F">
        <w:trPr>
          <w:cantSplit/>
          <w:jc w:val="center"/>
        </w:trPr>
        <w:tc>
          <w:tcPr>
            <w:tcW w:w="160" w:type="dxa"/>
          </w:tcPr>
          <w:p w14:paraId="308265BF" w14:textId="77777777" w:rsidR="00AF250B" w:rsidRPr="006B1319" w:rsidRDefault="00AF250B" w:rsidP="0068477F">
            <w:pPr>
              <w:widowControl w:val="0"/>
              <w:spacing w:after="60" w:line="259" w:lineRule="auto"/>
              <w:jc w:val="right"/>
              <w:rPr>
                <w:rFonts w:eastAsia="Calibri" w:cs="Tahoma"/>
                <w:lang w:val="es-ES" w:eastAsia="en-US"/>
              </w:rPr>
            </w:pPr>
          </w:p>
        </w:tc>
        <w:tc>
          <w:tcPr>
            <w:tcW w:w="7513" w:type="dxa"/>
          </w:tcPr>
          <w:p w14:paraId="15862A87" w14:textId="77777777" w:rsidR="00AF250B" w:rsidRPr="006B1319" w:rsidRDefault="00AF250B" w:rsidP="0068477F">
            <w:pPr>
              <w:widowControl w:val="0"/>
              <w:tabs>
                <w:tab w:val="left" w:pos="564"/>
              </w:tabs>
              <w:spacing w:after="60" w:line="259" w:lineRule="auto"/>
              <w:jc w:val="both"/>
            </w:pPr>
            <w:r w:rsidRPr="006B1319">
              <w:t>(571)</w:t>
            </w:r>
            <w:r w:rsidRPr="006B1319">
              <w:tab/>
              <w:t>Bancos e instituciones de crédito. Cuentas operativas, o</w:t>
            </w:r>
          </w:p>
          <w:p w14:paraId="571A4439" w14:textId="77777777" w:rsidR="00AF250B" w:rsidRPr="006B1319" w:rsidRDefault="00AF250B" w:rsidP="0068477F">
            <w:pPr>
              <w:widowControl w:val="0"/>
              <w:tabs>
                <w:tab w:val="left" w:pos="579"/>
              </w:tabs>
              <w:spacing w:line="259" w:lineRule="auto"/>
              <w:jc w:val="both"/>
              <w:rPr>
                <w:rFonts w:eastAsia="Calibri" w:cs="Tahoma"/>
                <w:lang w:val="es-ES" w:eastAsia="en-US"/>
              </w:rPr>
            </w:pPr>
            <w:r w:rsidRPr="006B1319">
              <w:t>(573)</w:t>
            </w:r>
            <w:r w:rsidRPr="006B1319">
              <w:tab/>
              <w:t>Bancos e instituciones de crédito. Cuentas restringidas de recaudación</w:t>
            </w:r>
          </w:p>
          <w:p w14:paraId="25B82DFA" w14:textId="77777777" w:rsidR="00AF250B" w:rsidRPr="006B1319" w:rsidRDefault="00AF250B" w:rsidP="0068477F">
            <w:pPr>
              <w:widowControl w:val="0"/>
              <w:tabs>
                <w:tab w:val="left" w:pos="3616"/>
                <w:tab w:val="left" w:pos="3899"/>
              </w:tabs>
              <w:spacing w:after="160" w:line="259" w:lineRule="auto"/>
              <w:ind w:left="2126"/>
              <w:rPr>
                <w:rFonts w:eastAsia="Calibri" w:cs="Tahoma"/>
                <w:lang w:val="es-ES" w:eastAsia="en-US"/>
              </w:rPr>
            </w:pPr>
            <w:r w:rsidRPr="006B1319">
              <w:rPr>
                <w:rFonts w:eastAsia="Calibri" w:cs="Tahoma"/>
                <w:lang w:val="es-ES" w:eastAsia="en-US"/>
              </w:rPr>
              <w:tab/>
              <w:t>a</w:t>
            </w:r>
            <w:r w:rsidRPr="006B1319">
              <w:rPr>
                <w:rFonts w:eastAsia="Calibri" w:cs="Tahoma"/>
                <w:lang w:val="es-ES" w:eastAsia="en-US"/>
              </w:rPr>
              <w:tab/>
            </w:r>
            <w:r w:rsidRPr="006B1319">
              <w:t>(554) Cobros pendientes de aplicación</w:t>
            </w:r>
          </w:p>
        </w:tc>
        <w:tc>
          <w:tcPr>
            <w:tcW w:w="160" w:type="dxa"/>
          </w:tcPr>
          <w:p w14:paraId="25C89F8C" w14:textId="77777777" w:rsidR="00AF250B" w:rsidRPr="006B1319" w:rsidRDefault="00AF250B" w:rsidP="0068477F">
            <w:pPr>
              <w:widowControl w:val="0"/>
              <w:spacing w:after="60" w:line="259" w:lineRule="auto"/>
              <w:rPr>
                <w:rFonts w:eastAsia="Calibri" w:cs="Tahoma"/>
                <w:lang w:val="es-ES" w:eastAsia="en-US"/>
              </w:rPr>
            </w:pPr>
          </w:p>
        </w:tc>
      </w:tr>
      <w:tr w:rsidR="00AF250B" w:rsidRPr="006B1319" w14:paraId="40A9DA18" w14:textId="77777777" w:rsidTr="0068477F">
        <w:trPr>
          <w:cantSplit/>
          <w:jc w:val="center"/>
        </w:trPr>
        <w:tc>
          <w:tcPr>
            <w:tcW w:w="160" w:type="dxa"/>
          </w:tcPr>
          <w:p w14:paraId="6098B053" w14:textId="77777777" w:rsidR="00AF250B" w:rsidRPr="006B1319" w:rsidRDefault="00AF250B" w:rsidP="0068477F">
            <w:pPr>
              <w:widowControl w:val="0"/>
              <w:spacing w:before="120" w:after="160" w:line="259" w:lineRule="auto"/>
              <w:rPr>
                <w:rFonts w:eastAsia="Calibri" w:cs="Tahoma"/>
                <w:lang w:val="es-ES" w:eastAsia="en-US"/>
              </w:rPr>
            </w:pPr>
          </w:p>
        </w:tc>
        <w:tc>
          <w:tcPr>
            <w:tcW w:w="7513" w:type="dxa"/>
          </w:tcPr>
          <w:p w14:paraId="5CB14887"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18383DDC" w14:textId="77777777" w:rsidR="00AF250B" w:rsidRPr="006B1319" w:rsidRDefault="00AF250B" w:rsidP="0068477F">
            <w:pPr>
              <w:widowControl w:val="0"/>
              <w:spacing w:before="120" w:after="160" w:line="259" w:lineRule="auto"/>
              <w:rPr>
                <w:rFonts w:eastAsia="Calibri" w:cs="Tahoma"/>
                <w:lang w:val="es-ES" w:eastAsia="en-US"/>
              </w:rPr>
            </w:pPr>
          </w:p>
        </w:tc>
      </w:tr>
    </w:tbl>
    <w:p w14:paraId="4F2094E6" w14:textId="77777777" w:rsidR="00AF250B" w:rsidRPr="006B1319" w:rsidRDefault="00AF250B" w:rsidP="00AF250B">
      <w:pPr>
        <w:widowControl w:val="0"/>
        <w:numPr>
          <w:ilvl w:val="0"/>
          <w:numId w:val="2"/>
        </w:numPr>
        <w:tabs>
          <w:tab w:val="left" w:pos="284"/>
          <w:tab w:val="left" w:pos="567"/>
          <w:tab w:val="left" w:pos="1134"/>
          <w:tab w:val="left" w:pos="1162"/>
          <w:tab w:val="left" w:pos="1418"/>
        </w:tabs>
        <w:spacing w:before="240" w:after="120"/>
        <w:ind w:left="567" w:hanging="210"/>
        <w:jc w:val="both"/>
        <w:rPr>
          <w:rFonts w:cs="Arial"/>
        </w:rPr>
      </w:pPr>
      <w:r w:rsidRPr="006B1319">
        <w:rPr>
          <w:rFonts w:cs="Arial"/>
        </w:rPr>
        <w:lastRenderedPageBreak/>
        <w:t>Cuando se reciba la información de detalle de los tributos y gravámenes recaudados durante cada quincena, por la aplicación definitiva de los cobros:</w:t>
      </w:r>
    </w:p>
    <w:p w14:paraId="2FFD0EA7" w14:textId="77777777" w:rsidR="00AF250B" w:rsidRPr="006B1319" w:rsidRDefault="00AF250B" w:rsidP="00AF250B">
      <w:pPr>
        <w:widowControl w:val="0"/>
        <w:numPr>
          <w:ilvl w:val="0"/>
          <w:numId w:val="1"/>
        </w:numPr>
        <w:tabs>
          <w:tab w:val="left" w:pos="284"/>
          <w:tab w:val="left" w:pos="567"/>
          <w:tab w:val="left" w:pos="851"/>
          <w:tab w:val="left" w:pos="1134"/>
          <w:tab w:val="left" w:pos="1162"/>
          <w:tab w:val="left" w:pos="1418"/>
        </w:tabs>
        <w:spacing w:before="120" w:after="240"/>
        <w:ind w:left="1066" w:hanging="357"/>
        <w:jc w:val="both"/>
        <w:rPr>
          <w:rFonts w:cs="Arial"/>
        </w:rPr>
      </w:pPr>
      <w:r w:rsidRPr="006B1319">
        <w:rPr>
          <w:rFonts w:cs="Arial"/>
        </w:rPr>
        <w:t>Por las liquidaciones de contraído previo:</w:t>
      </w:r>
    </w:p>
    <w:tbl>
      <w:tblPr>
        <w:tblW w:w="8364" w:type="dxa"/>
        <w:jc w:val="right"/>
        <w:tblLayout w:type="fixed"/>
        <w:tblCellMar>
          <w:left w:w="70" w:type="dxa"/>
          <w:right w:w="70" w:type="dxa"/>
        </w:tblCellMar>
        <w:tblLook w:val="0000" w:firstRow="0" w:lastRow="0" w:firstColumn="0" w:lastColumn="0" w:noHBand="0" w:noVBand="0"/>
      </w:tblPr>
      <w:tblGrid>
        <w:gridCol w:w="160"/>
        <w:gridCol w:w="8044"/>
        <w:gridCol w:w="160"/>
      </w:tblGrid>
      <w:tr w:rsidR="00AF250B" w:rsidRPr="006B1319" w14:paraId="2422B1F2" w14:textId="77777777" w:rsidTr="0068477F">
        <w:trPr>
          <w:cantSplit/>
          <w:trHeight w:val="375"/>
          <w:jc w:val="right"/>
        </w:trPr>
        <w:tc>
          <w:tcPr>
            <w:tcW w:w="160" w:type="dxa"/>
          </w:tcPr>
          <w:p w14:paraId="1A27E101" w14:textId="77777777" w:rsidR="00AF250B" w:rsidRPr="006B1319" w:rsidRDefault="00AF250B" w:rsidP="0068477F">
            <w:pPr>
              <w:widowControl w:val="0"/>
              <w:spacing w:before="120" w:after="160" w:line="259" w:lineRule="auto"/>
              <w:rPr>
                <w:rFonts w:eastAsia="Calibri" w:cs="Tahoma"/>
                <w:lang w:val="es-ES" w:eastAsia="en-US"/>
              </w:rPr>
            </w:pPr>
          </w:p>
        </w:tc>
        <w:tc>
          <w:tcPr>
            <w:tcW w:w="8044" w:type="dxa"/>
          </w:tcPr>
          <w:p w14:paraId="06EFB005"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34405C53" w14:textId="77777777" w:rsidR="00AF250B" w:rsidRPr="006B1319" w:rsidRDefault="00AF250B" w:rsidP="0068477F">
            <w:pPr>
              <w:widowControl w:val="0"/>
              <w:spacing w:before="120" w:after="160" w:line="259" w:lineRule="auto"/>
              <w:rPr>
                <w:rFonts w:eastAsia="Calibri" w:cs="Tahoma"/>
                <w:lang w:val="es-ES" w:eastAsia="en-US"/>
              </w:rPr>
            </w:pPr>
          </w:p>
        </w:tc>
      </w:tr>
      <w:tr w:rsidR="00AF250B" w:rsidRPr="006B1319" w14:paraId="3A36DC35" w14:textId="77777777" w:rsidTr="0068477F">
        <w:trPr>
          <w:cantSplit/>
          <w:jc w:val="right"/>
        </w:trPr>
        <w:tc>
          <w:tcPr>
            <w:tcW w:w="160" w:type="dxa"/>
          </w:tcPr>
          <w:p w14:paraId="621169ED" w14:textId="77777777" w:rsidR="00AF250B" w:rsidRPr="006B1319" w:rsidRDefault="00AF250B" w:rsidP="0068477F">
            <w:pPr>
              <w:widowControl w:val="0"/>
              <w:spacing w:after="60" w:line="259" w:lineRule="auto"/>
              <w:jc w:val="right"/>
              <w:rPr>
                <w:rFonts w:eastAsia="Calibri" w:cs="Tahoma"/>
                <w:lang w:val="es-ES" w:eastAsia="en-US"/>
              </w:rPr>
            </w:pPr>
          </w:p>
        </w:tc>
        <w:tc>
          <w:tcPr>
            <w:tcW w:w="8044" w:type="dxa"/>
          </w:tcPr>
          <w:p w14:paraId="5119A135" w14:textId="77777777" w:rsidR="00AF250B" w:rsidRPr="006B1319" w:rsidRDefault="00AF250B" w:rsidP="0068477F">
            <w:pPr>
              <w:widowControl w:val="0"/>
              <w:tabs>
                <w:tab w:val="left" w:pos="564"/>
                <w:tab w:val="left" w:pos="3881"/>
                <w:tab w:val="left" w:pos="4306"/>
                <w:tab w:val="left" w:pos="4590"/>
              </w:tabs>
              <w:spacing w:after="60" w:line="259" w:lineRule="auto"/>
              <w:jc w:val="both"/>
            </w:pPr>
            <w:r w:rsidRPr="006B1319">
              <w:t>(554)</w:t>
            </w:r>
            <w:r w:rsidRPr="006B1319">
              <w:tab/>
              <w:t>Cobros pendientes de aplicación</w:t>
            </w:r>
            <w:r w:rsidRPr="006B1319">
              <w:rPr>
                <w:rFonts w:eastAsia="Calibri" w:cs="Tahoma"/>
                <w:lang w:val="es-ES" w:eastAsia="en-US"/>
              </w:rPr>
              <w:tab/>
              <w:t>a</w:t>
            </w:r>
            <w:r w:rsidRPr="006B1319">
              <w:rPr>
                <w:rFonts w:eastAsia="Calibri" w:cs="Tahoma"/>
                <w:lang w:val="es-ES" w:eastAsia="en-US"/>
              </w:rPr>
              <w:tab/>
            </w:r>
            <w:r w:rsidRPr="006B1319">
              <w:t>(430X)</w:t>
            </w:r>
            <w:r w:rsidRPr="006B1319">
              <w:tab/>
              <w:t xml:space="preserve">D.D.R. Presupuesto de ingresos </w:t>
            </w:r>
            <w:r w:rsidRPr="006B1319">
              <w:tab/>
            </w:r>
            <w:r w:rsidRPr="006B1319">
              <w:tab/>
            </w:r>
            <w:r w:rsidRPr="006B1319">
              <w:tab/>
            </w:r>
            <w:r w:rsidRPr="006B1319">
              <w:tab/>
            </w:r>
            <w:r w:rsidRPr="006B1319">
              <w:tab/>
              <w:t>corriente</w:t>
            </w:r>
          </w:p>
          <w:p w14:paraId="5F4A4E9C" w14:textId="77777777" w:rsidR="00AF250B" w:rsidRPr="006B1319" w:rsidRDefault="00AF250B" w:rsidP="0068477F">
            <w:pPr>
              <w:widowControl w:val="0"/>
              <w:tabs>
                <w:tab w:val="left" w:pos="3598"/>
                <w:tab w:val="left" w:pos="3899"/>
                <w:tab w:val="left" w:pos="4306"/>
                <w:tab w:val="left" w:pos="4585"/>
              </w:tabs>
              <w:spacing w:after="160" w:line="259" w:lineRule="auto"/>
              <w:ind w:left="2126"/>
              <w:rPr>
                <w:rFonts w:eastAsia="Calibri" w:cs="Tahoma"/>
                <w:lang w:val="es-ES" w:eastAsia="en-US"/>
              </w:rPr>
            </w:pPr>
            <w:r w:rsidRPr="006B1319">
              <w:tab/>
            </w:r>
            <w:r w:rsidRPr="006B1319">
              <w:tab/>
            </w:r>
            <w:r w:rsidRPr="006B1319">
              <w:tab/>
              <w:t>(431X)</w:t>
            </w:r>
            <w:r w:rsidRPr="006B1319">
              <w:tab/>
              <w:t xml:space="preserve">D.D.R. Presupuestos de ingresos </w:t>
            </w:r>
            <w:r w:rsidRPr="006B1319">
              <w:tab/>
            </w:r>
            <w:r w:rsidRPr="006B1319">
              <w:tab/>
            </w:r>
            <w:r w:rsidRPr="006B1319">
              <w:tab/>
            </w:r>
            <w:r w:rsidRPr="006B1319">
              <w:tab/>
            </w:r>
            <w:r w:rsidRPr="006B1319">
              <w:tab/>
              <w:t>cerrados</w:t>
            </w:r>
          </w:p>
        </w:tc>
        <w:tc>
          <w:tcPr>
            <w:tcW w:w="160" w:type="dxa"/>
          </w:tcPr>
          <w:p w14:paraId="40B6A724" w14:textId="77777777" w:rsidR="00AF250B" w:rsidRPr="006B1319" w:rsidRDefault="00AF250B" w:rsidP="0068477F">
            <w:pPr>
              <w:widowControl w:val="0"/>
              <w:spacing w:after="60" w:line="259" w:lineRule="auto"/>
              <w:rPr>
                <w:rFonts w:eastAsia="Calibri" w:cs="Tahoma"/>
                <w:lang w:val="es-ES" w:eastAsia="en-US"/>
              </w:rPr>
            </w:pPr>
          </w:p>
        </w:tc>
      </w:tr>
      <w:tr w:rsidR="00AF250B" w:rsidRPr="006B1319" w14:paraId="3D2CE007" w14:textId="77777777" w:rsidTr="0068477F">
        <w:trPr>
          <w:cantSplit/>
          <w:jc w:val="right"/>
        </w:trPr>
        <w:tc>
          <w:tcPr>
            <w:tcW w:w="160" w:type="dxa"/>
          </w:tcPr>
          <w:p w14:paraId="65AAA5B5" w14:textId="77777777" w:rsidR="00AF250B" w:rsidRPr="006B1319" w:rsidRDefault="00AF250B" w:rsidP="0068477F">
            <w:pPr>
              <w:widowControl w:val="0"/>
              <w:spacing w:before="120" w:after="160" w:line="259" w:lineRule="auto"/>
              <w:rPr>
                <w:rFonts w:eastAsia="Calibri" w:cs="Tahoma"/>
                <w:lang w:val="es-ES" w:eastAsia="en-US"/>
              </w:rPr>
            </w:pPr>
          </w:p>
        </w:tc>
        <w:tc>
          <w:tcPr>
            <w:tcW w:w="8044" w:type="dxa"/>
          </w:tcPr>
          <w:p w14:paraId="5EA40365"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55231015" w14:textId="77777777" w:rsidR="00AF250B" w:rsidRPr="006B1319" w:rsidRDefault="00AF250B" w:rsidP="0068477F">
            <w:pPr>
              <w:widowControl w:val="0"/>
              <w:spacing w:before="120" w:after="160" w:line="259" w:lineRule="auto"/>
              <w:rPr>
                <w:rFonts w:eastAsia="Calibri" w:cs="Tahoma"/>
                <w:lang w:val="es-ES" w:eastAsia="en-US"/>
              </w:rPr>
            </w:pPr>
          </w:p>
        </w:tc>
      </w:tr>
    </w:tbl>
    <w:p w14:paraId="7D9B43AE" w14:textId="77777777" w:rsidR="00AF250B" w:rsidRPr="006B1319" w:rsidRDefault="00AF250B" w:rsidP="00AF250B">
      <w:pPr>
        <w:widowControl w:val="0"/>
        <w:numPr>
          <w:ilvl w:val="0"/>
          <w:numId w:val="1"/>
        </w:numPr>
        <w:tabs>
          <w:tab w:val="left" w:pos="284"/>
          <w:tab w:val="left" w:pos="567"/>
          <w:tab w:val="left" w:pos="851"/>
          <w:tab w:val="left" w:pos="1134"/>
          <w:tab w:val="left" w:pos="1162"/>
          <w:tab w:val="left" w:pos="1418"/>
        </w:tabs>
        <w:spacing w:before="240" w:after="240"/>
        <w:ind w:left="1066" w:hanging="357"/>
        <w:jc w:val="both"/>
        <w:rPr>
          <w:rFonts w:cs="Arial"/>
        </w:rPr>
      </w:pPr>
      <w:r w:rsidRPr="006B1319">
        <w:rPr>
          <w:rFonts w:cs="Arial"/>
        </w:rPr>
        <w:t>Por las liquidaciones “sin” contraído previo:</w:t>
      </w:r>
    </w:p>
    <w:tbl>
      <w:tblPr>
        <w:tblW w:w="8364" w:type="dxa"/>
        <w:jc w:val="right"/>
        <w:tblLayout w:type="fixed"/>
        <w:tblCellMar>
          <w:left w:w="70" w:type="dxa"/>
          <w:right w:w="70" w:type="dxa"/>
        </w:tblCellMar>
        <w:tblLook w:val="0000" w:firstRow="0" w:lastRow="0" w:firstColumn="0" w:lastColumn="0" w:noHBand="0" w:noVBand="0"/>
      </w:tblPr>
      <w:tblGrid>
        <w:gridCol w:w="160"/>
        <w:gridCol w:w="8044"/>
        <w:gridCol w:w="160"/>
      </w:tblGrid>
      <w:tr w:rsidR="00AF250B" w:rsidRPr="006B1319" w14:paraId="4098BD35" w14:textId="77777777" w:rsidTr="0068477F">
        <w:trPr>
          <w:cantSplit/>
          <w:trHeight w:val="375"/>
          <w:jc w:val="right"/>
        </w:trPr>
        <w:tc>
          <w:tcPr>
            <w:tcW w:w="160" w:type="dxa"/>
          </w:tcPr>
          <w:p w14:paraId="488073EE" w14:textId="77777777" w:rsidR="00AF250B" w:rsidRPr="006B1319" w:rsidRDefault="00AF250B" w:rsidP="0068477F">
            <w:pPr>
              <w:widowControl w:val="0"/>
              <w:spacing w:before="120" w:after="160" w:line="259" w:lineRule="auto"/>
              <w:rPr>
                <w:rFonts w:eastAsia="Calibri" w:cs="Tahoma"/>
                <w:lang w:val="es-ES" w:eastAsia="en-US"/>
              </w:rPr>
            </w:pPr>
          </w:p>
        </w:tc>
        <w:tc>
          <w:tcPr>
            <w:tcW w:w="8044" w:type="dxa"/>
          </w:tcPr>
          <w:p w14:paraId="02EC45E9"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3D42A3F5" w14:textId="77777777" w:rsidR="00AF250B" w:rsidRPr="006B1319" w:rsidRDefault="00AF250B" w:rsidP="0068477F">
            <w:pPr>
              <w:widowControl w:val="0"/>
              <w:spacing w:before="120" w:after="160" w:line="259" w:lineRule="auto"/>
              <w:rPr>
                <w:rFonts w:eastAsia="Calibri" w:cs="Tahoma"/>
                <w:lang w:val="es-ES" w:eastAsia="en-US"/>
              </w:rPr>
            </w:pPr>
          </w:p>
        </w:tc>
      </w:tr>
      <w:tr w:rsidR="00AF250B" w:rsidRPr="006B1319" w14:paraId="43C415E5" w14:textId="77777777" w:rsidTr="0068477F">
        <w:trPr>
          <w:cantSplit/>
          <w:jc w:val="right"/>
        </w:trPr>
        <w:tc>
          <w:tcPr>
            <w:tcW w:w="160" w:type="dxa"/>
          </w:tcPr>
          <w:p w14:paraId="3E9F6482" w14:textId="77777777" w:rsidR="00AF250B" w:rsidRPr="006B1319" w:rsidRDefault="00AF250B" w:rsidP="0068477F">
            <w:pPr>
              <w:widowControl w:val="0"/>
              <w:spacing w:after="60" w:line="259" w:lineRule="auto"/>
              <w:jc w:val="right"/>
              <w:rPr>
                <w:rFonts w:eastAsia="Calibri" w:cs="Tahoma"/>
                <w:lang w:val="es-ES" w:eastAsia="en-US"/>
              </w:rPr>
            </w:pPr>
          </w:p>
        </w:tc>
        <w:tc>
          <w:tcPr>
            <w:tcW w:w="8044" w:type="dxa"/>
          </w:tcPr>
          <w:p w14:paraId="03DFA94B" w14:textId="77777777" w:rsidR="00AF250B" w:rsidRPr="006B1319" w:rsidRDefault="00AF250B" w:rsidP="0068477F">
            <w:pPr>
              <w:widowControl w:val="0"/>
              <w:tabs>
                <w:tab w:val="left" w:pos="564"/>
                <w:tab w:val="left" w:pos="3899"/>
                <w:tab w:val="left" w:pos="4306"/>
                <w:tab w:val="left" w:pos="4585"/>
              </w:tabs>
              <w:spacing w:after="60" w:line="259" w:lineRule="auto"/>
              <w:jc w:val="both"/>
            </w:pPr>
            <w:r w:rsidRPr="006B1319">
              <w:t>(554)</w:t>
            </w:r>
            <w:r w:rsidRPr="006B1319">
              <w:tab/>
              <w:t>Cobros pendientes de aplicación</w:t>
            </w:r>
            <w:r w:rsidRPr="006B1319">
              <w:rPr>
                <w:rFonts w:eastAsia="Calibri" w:cs="Tahoma"/>
                <w:lang w:val="es-ES" w:eastAsia="en-US"/>
              </w:rPr>
              <w:tab/>
              <w:t>a</w:t>
            </w:r>
            <w:r w:rsidRPr="006B1319">
              <w:rPr>
                <w:rFonts w:eastAsia="Calibri" w:cs="Tahoma"/>
                <w:lang w:val="es-ES" w:eastAsia="en-US"/>
              </w:rPr>
              <w:tab/>
            </w:r>
            <w:r w:rsidRPr="006B1319">
              <w:t>(430X)</w:t>
            </w:r>
            <w:r w:rsidRPr="006B1319">
              <w:tab/>
              <w:t xml:space="preserve">D.D.R. Presupuesto de ingresos </w:t>
            </w:r>
            <w:r w:rsidRPr="006B1319">
              <w:tab/>
            </w:r>
            <w:r w:rsidRPr="006B1319">
              <w:tab/>
            </w:r>
            <w:r w:rsidRPr="006B1319">
              <w:tab/>
            </w:r>
            <w:r w:rsidRPr="006B1319">
              <w:tab/>
            </w:r>
            <w:r w:rsidRPr="006B1319">
              <w:tab/>
              <w:t>corriente</w:t>
            </w:r>
          </w:p>
        </w:tc>
        <w:tc>
          <w:tcPr>
            <w:tcW w:w="160" w:type="dxa"/>
          </w:tcPr>
          <w:p w14:paraId="366E6276" w14:textId="77777777" w:rsidR="00AF250B" w:rsidRPr="006B1319" w:rsidRDefault="00AF250B" w:rsidP="0068477F">
            <w:pPr>
              <w:widowControl w:val="0"/>
              <w:spacing w:after="60" w:line="259" w:lineRule="auto"/>
              <w:rPr>
                <w:rFonts w:eastAsia="Calibri" w:cs="Tahoma"/>
                <w:lang w:val="es-ES" w:eastAsia="en-US"/>
              </w:rPr>
            </w:pPr>
          </w:p>
        </w:tc>
      </w:tr>
      <w:tr w:rsidR="00AF250B" w:rsidRPr="006B1319" w14:paraId="191B9B5F" w14:textId="77777777" w:rsidTr="0068477F">
        <w:trPr>
          <w:cantSplit/>
          <w:jc w:val="right"/>
        </w:trPr>
        <w:tc>
          <w:tcPr>
            <w:tcW w:w="160" w:type="dxa"/>
          </w:tcPr>
          <w:p w14:paraId="5488C18A" w14:textId="77777777" w:rsidR="00AF250B" w:rsidRPr="006B1319" w:rsidRDefault="00AF250B" w:rsidP="0068477F">
            <w:pPr>
              <w:widowControl w:val="0"/>
              <w:spacing w:before="120" w:after="160" w:line="259" w:lineRule="auto"/>
              <w:rPr>
                <w:rFonts w:eastAsia="Calibri" w:cs="Tahoma"/>
                <w:lang w:val="es-ES" w:eastAsia="en-US"/>
              </w:rPr>
            </w:pPr>
          </w:p>
        </w:tc>
        <w:tc>
          <w:tcPr>
            <w:tcW w:w="8044" w:type="dxa"/>
          </w:tcPr>
          <w:p w14:paraId="1D75B2B0"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4754BE76" w14:textId="77777777" w:rsidR="00AF250B" w:rsidRPr="006B1319" w:rsidRDefault="00AF250B" w:rsidP="0068477F">
            <w:pPr>
              <w:widowControl w:val="0"/>
              <w:spacing w:before="120" w:after="160" w:line="259" w:lineRule="auto"/>
              <w:rPr>
                <w:rFonts w:eastAsia="Calibri" w:cs="Tahoma"/>
                <w:lang w:val="es-ES" w:eastAsia="en-US"/>
              </w:rPr>
            </w:pPr>
          </w:p>
        </w:tc>
      </w:tr>
      <w:tr w:rsidR="00AF250B" w:rsidRPr="006B1319" w14:paraId="2432E207" w14:textId="77777777" w:rsidTr="0068477F">
        <w:trPr>
          <w:cantSplit/>
          <w:jc w:val="right"/>
        </w:trPr>
        <w:tc>
          <w:tcPr>
            <w:tcW w:w="160" w:type="dxa"/>
          </w:tcPr>
          <w:p w14:paraId="53245192" w14:textId="77777777" w:rsidR="00AF250B" w:rsidRPr="006B1319" w:rsidRDefault="00AF250B" w:rsidP="0068477F">
            <w:pPr>
              <w:widowControl w:val="0"/>
              <w:spacing w:after="60" w:line="259" w:lineRule="auto"/>
              <w:jc w:val="right"/>
              <w:rPr>
                <w:rFonts w:eastAsia="Calibri" w:cs="Tahoma"/>
                <w:lang w:val="es-ES" w:eastAsia="en-US"/>
              </w:rPr>
            </w:pPr>
          </w:p>
        </w:tc>
        <w:tc>
          <w:tcPr>
            <w:tcW w:w="8044" w:type="dxa"/>
            <w:vAlign w:val="center"/>
          </w:tcPr>
          <w:p w14:paraId="335A2183" w14:textId="77777777" w:rsidR="00AF250B" w:rsidRPr="006B1319" w:rsidRDefault="00AF250B" w:rsidP="0068477F">
            <w:pPr>
              <w:widowControl w:val="0"/>
              <w:tabs>
                <w:tab w:val="left" w:pos="564"/>
              </w:tabs>
              <w:spacing w:after="60" w:line="20" w:lineRule="atLeast"/>
            </w:pPr>
            <w:r w:rsidRPr="006B1319">
              <w:t>(430X)</w:t>
            </w:r>
            <w:r w:rsidRPr="006B1319">
              <w:tab/>
              <w:t>D.D.R. Presupuesto de ingresos corriente</w:t>
            </w:r>
          </w:p>
          <w:p w14:paraId="23C45F68" w14:textId="77777777" w:rsidR="00AF250B" w:rsidRPr="006B1319" w:rsidRDefault="00AF250B" w:rsidP="0068477F">
            <w:pPr>
              <w:widowControl w:val="0"/>
              <w:tabs>
                <w:tab w:val="left" w:pos="579"/>
              </w:tabs>
              <w:spacing w:line="20" w:lineRule="atLeast"/>
              <w:rPr>
                <w:rFonts w:eastAsia="Calibri" w:cs="Tahoma"/>
                <w:lang w:val="es-ES" w:eastAsia="en-US"/>
              </w:rPr>
            </w:pPr>
          </w:p>
          <w:p w14:paraId="3F8CD0D4" w14:textId="77777777" w:rsidR="00AF250B" w:rsidRPr="006B1319" w:rsidRDefault="00AF250B" w:rsidP="0068477F">
            <w:pPr>
              <w:widowControl w:val="0"/>
              <w:tabs>
                <w:tab w:val="left" w:pos="3881"/>
                <w:tab w:val="left" w:pos="4306"/>
                <w:tab w:val="left" w:pos="4873"/>
              </w:tabs>
              <w:spacing w:after="160" w:line="20" w:lineRule="atLeast"/>
              <w:ind w:left="2126"/>
              <w:rPr>
                <w:rFonts w:eastAsia="Calibri" w:cs="Tahoma"/>
                <w:lang w:val="es-ES" w:eastAsia="en-US"/>
              </w:rPr>
            </w:pPr>
            <w:r w:rsidRPr="006B1319">
              <w:rPr>
                <w:rFonts w:eastAsia="Calibri" w:cs="Tahoma"/>
                <w:lang w:val="es-ES" w:eastAsia="en-US"/>
              </w:rPr>
              <w:tab/>
              <w:t>a</w:t>
            </w:r>
            <w:r w:rsidRPr="006B1319">
              <w:rPr>
                <w:rFonts w:eastAsia="Calibri" w:cs="Tahoma"/>
                <w:lang w:val="es-ES" w:eastAsia="en-US"/>
              </w:rPr>
              <w:tab/>
            </w:r>
            <w:r w:rsidRPr="006B1319">
              <w:t>(XXX)</w:t>
            </w:r>
            <w:r w:rsidRPr="006B1319">
              <w:tab/>
              <w:t xml:space="preserve">Cuentas representativas de los </w:t>
            </w:r>
            <w:r w:rsidRPr="006B1319">
              <w:tab/>
            </w:r>
            <w:r w:rsidRPr="006B1319">
              <w:tab/>
            </w:r>
            <w:r w:rsidRPr="006B1319">
              <w:tab/>
            </w:r>
            <w:r w:rsidRPr="006B1319">
              <w:tab/>
              <w:t>ingresos</w:t>
            </w:r>
          </w:p>
        </w:tc>
        <w:tc>
          <w:tcPr>
            <w:tcW w:w="160" w:type="dxa"/>
          </w:tcPr>
          <w:p w14:paraId="183429C3" w14:textId="77777777" w:rsidR="00AF250B" w:rsidRPr="006B1319" w:rsidRDefault="00AF250B" w:rsidP="0068477F">
            <w:pPr>
              <w:widowControl w:val="0"/>
              <w:spacing w:after="60" w:line="259" w:lineRule="auto"/>
              <w:rPr>
                <w:rFonts w:eastAsia="Calibri" w:cs="Tahoma"/>
                <w:lang w:val="es-ES" w:eastAsia="en-US"/>
              </w:rPr>
            </w:pPr>
          </w:p>
        </w:tc>
      </w:tr>
      <w:tr w:rsidR="00AF250B" w:rsidRPr="006B1319" w14:paraId="50C4641D" w14:textId="77777777" w:rsidTr="0068477F">
        <w:trPr>
          <w:cantSplit/>
          <w:jc w:val="right"/>
        </w:trPr>
        <w:tc>
          <w:tcPr>
            <w:tcW w:w="160" w:type="dxa"/>
          </w:tcPr>
          <w:p w14:paraId="4F15E542" w14:textId="77777777" w:rsidR="00AF250B" w:rsidRPr="006B1319" w:rsidRDefault="00AF250B" w:rsidP="0068477F">
            <w:pPr>
              <w:widowControl w:val="0"/>
              <w:spacing w:before="120" w:after="160" w:line="259" w:lineRule="auto"/>
              <w:rPr>
                <w:rFonts w:eastAsia="Calibri" w:cs="Tahoma"/>
                <w:lang w:val="es-ES" w:eastAsia="en-US"/>
              </w:rPr>
            </w:pPr>
          </w:p>
        </w:tc>
        <w:tc>
          <w:tcPr>
            <w:tcW w:w="8044" w:type="dxa"/>
          </w:tcPr>
          <w:p w14:paraId="1608F018"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6FEF7765" w14:textId="77777777" w:rsidR="00AF250B" w:rsidRPr="006B1319" w:rsidRDefault="00AF250B" w:rsidP="0068477F">
            <w:pPr>
              <w:widowControl w:val="0"/>
              <w:spacing w:before="120" w:after="160" w:line="259" w:lineRule="auto"/>
              <w:rPr>
                <w:rFonts w:eastAsia="Calibri" w:cs="Tahoma"/>
                <w:lang w:val="es-ES" w:eastAsia="en-US"/>
              </w:rPr>
            </w:pPr>
          </w:p>
        </w:tc>
      </w:tr>
    </w:tbl>
    <w:p w14:paraId="19418148" w14:textId="77777777" w:rsidR="00AF250B" w:rsidRPr="006B1319" w:rsidRDefault="00AF250B" w:rsidP="00AF250B">
      <w:pPr>
        <w:widowControl w:val="0"/>
        <w:tabs>
          <w:tab w:val="left" w:pos="284"/>
          <w:tab w:val="left" w:pos="567"/>
          <w:tab w:val="left" w:pos="851"/>
          <w:tab w:val="left" w:pos="1134"/>
          <w:tab w:val="left" w:pos="1162"/>
          <w:tab w:val="left" w:pos="1418"/>
        </w:tabs>
        <w:spacing w:before="240" w:after="240"/>
        <w:jc w:val="both"/>
        <w:rPr>
          <w:rFonts w:cs="Arial"/>
        </w:rPr>
      </w:pPr>
      <w:r w:rsidRPr="006B1319">
        <w:rPr>
          <w:rFonts w:cs="Arial"/>
        </w:rPr>
        <w:t>Ahora bien, cada año, el 31 de diciembre divide a la quincena comprendida entre el 21 de diciembre y el 5 de enero en dos partes y este hecho provoca, siempre que la información sea relevante, una excepción en el esquema general de contabilización que se ha expuesto. Así, la entidad local deberá practicar con fecha 31 de diciembre y con base en la información de detalle suministrada por las Entidades Colaboradoras sobre los tributos y gravámenes recaudados durante la quincena comprendida entre el 21 de diciembre y el 5 de enero, la siguiente anotación contable por el importe que, de la recaudación efectuada por las Entidades Colaboradoras entre el 21 y el 31 de diciembre, corresponda a liquidaciones “sin” contraído previo (autoliquidaciones):</w:t>
      </w:r>
    </w:p>
    <w:tbl>
      <w:tblPr>
        <w:tblW w:w="8401" w:type="dxa"/>
        <w:jc w:val="right"/>
        <w:tblLayout w:type="fixed"/>
        <w:tblCellMar>
          <w:left w:w="70" w:type="dxa"/>
          <w:right w:w="70" w:type="dxa"/>
        </w:tblCellMar>
        <w:tblLook w:val="0000" w:firstRow="0" w:lastRow="0" w:firstColumn="0" w:lastColumn="0" w:noHBand="0" w:noVBand="0"/>
      </w:tblPr>
      <w:tblGrid>
        <w:gridCol w:w="160"/>
        <w:gridCol w:w="8081"/>
        <w:gridCol w:w="160"/>
      </w:tblGrid>
      <w:tr w:rsidR="00AF250B" w:rsidRPr="006B1319" w14:paraId="552A7972" w14:textId="77777777" w:rsidTr="0068477F">
        <w:trPr>
          <w:cantSplit/>
          <w:trHeight w:val="375"/>
          <w:jc w:val="right"/>
        </w:trPr>
        <w:tc>
          <w:tcPr>
            <w:tcW w:w="160" w:type="dxa"/>
          </w:tcPr>
          <w:p w14:paraId="01096B58" w14:textId="77777777" w:rsidR="00AF250B" w:rsidRPr="006B1319" w:rsidRDefault="00AF250B" w:rsidP="0068477F">
            <w:pPr>
              <w:widowControl w:val="0"/>
              <w:spacing w:before="120" w:after="160" w:line="259" w:lineRule="auto"/>
              <w:rPr>
                <w:rFonts w:eastAsia="Calibri" w:cs="Tahoma"/>
                <w:lang w:val="es-ES" w:eastAsia="en-US"/>
              </w:rPr>
            </w:pPr>
          </w:p>
        </w:tc>
        <w:tc>
          <w:tcPr>
            <w:tcW w:w="8081" w:type="dxa"/>
          </w:tcPr>
          <w:p w14:paraId="6167CDAF"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664A8DB0" w14:textId="77777777" w:rsidR="00AF250B" w:rsidRPr="006B1319" w:rsidRDefault="00AF250B" w:rsidP="0068477F">
            <w:pPr>
              <w:widowControl w:val="0"/>
              <w:spacing w:before="120" w:after="160" w:line="259" w:lineRule="auto"/>
              <w:rPr>
                <w:rFonts w:eastAsia="Calibri" w:cs="Tahoma"/>
                <w:lang w:val="es-ES" w:eastAsia="en-US"/>
              </w:rPr>
            </w:pPr>
          </w:p>
        </w:tc>
      </w:tr>
      <w:tr w:rsidR="00AF250B" w:rsidRPr="006B1319" w14:paraId="17C19DE9" w14:textId="77777777" w:rsidTr="0068477F">
        <w:trPr>
          <w:cantSplit/>
          <w:jc w:val="right"/>
        </w:trPr>
        <w:tc>
          <w:tcPr>
            <w:tcW w:w="160" w:type="dxa"/>
          </w:tcPr>
          <w:p w14:paraId="5981E274" w14:textId="77777777" w:rsidR="00AF250B" w:rsidRPr="006B1319" w:rsidRDefault="00AF250B" w:rsidP="0068477F">
            <w:pPr>
              <w:widowControl w:val="0"/>
              <w:spacing w:after="60" w:line="259" w:lineRule="auto"/>
              <w:jc w:val="right"/>
              <w:rPr>
                <w:rFonts w:eastAsia="Calibri" w:cs="Tahoma"/>
                <w:lang w:val="es-ES" w:eastAsia="en-US"/>
              </w:rPr>
            </w:pPr>
          </w:p>
        </w:tc>
        <w:tc>
          <w:tcPr>
            <w:tcW w:w="8081" w:type="dxa"/>
          </w:tcPr>
          <w:p w14:paraId="66D96663" w14:textId="77777777" w:rsidR="00AF250B" w:rsidRPr="006B1319" w:rsidRDefault="00AF250B" w:rsidP="0068477F">
            <w:pPr>
              <w:widowControl w:val="0"/>
              <w:tabs>
                <w:tab w:val="left" w:pos="564"/>
              </w:tabs>
              <w:spacing w:after="60" w:line="259" w:lineRule="auto"/>
              <w:jc w:val="both"/>
            </w:pPr>
            <w:r w:rsidRPr="006B1319">
              <w:t>(441)</w:t>
            </w:r>
            <w:r w:rsidRPr="006B1319">
              <w:tab/>
              <w:t>Deudores por ingresos devengados</w:t>
            </w:r>
          </w:p>
          <w:p w14:paraId="3D39D389" w14:textId="77777777" w:rsidR="00AF250B" w:rsidRPr="006B1319" w:rsidRDefault="00AF250B" w:rsidP="0068477F">
            <w:pPr>
              <w:widowControl w:val="0"/>
              <w:tabs>
                <w:tab w:val="left" w:pos="3616"/>
                <w:tab w:val="left" w:pos="3899"/>
                <w:tab w:val="left" w:pos="4330"/>
                <w:tab w:val="left" w:pos="4873"/>
              </w:tabs>
              <w:spacing w:after="160" w:line="259" w:lineRule="auto"/>
              <w:ind w:left="2126"/>
              <w:rPr>
                <w:rFonts w:eastAsia="Calibri" w:cs="Tahoma"/>
                <w:lang w:val="es-ES" w:eastAsia="en-US"/>
              </w:rPr>
            </w:pPr>
            <w:r w:rsidRPr="006B1319">
              <w:rPr>
                <w:rFonts w:eastAsia="Calibri" w:cs="Tahoma"/>
                <w:lang w:val="es-ES" w:eastAsia="en-US"/>
              </w:rPr>
              <w:tab/>
            </w:r>
            <w:r w:rsidRPr="006B1319">
              <w:rPr>
                <w:rFonts w:eastAsia="Calibri" w:cs="Tahoma"/>
                <w:lang w:val="es-ES" w:eastAsia="en-US"/>
              </w:rPr>
              <w:tab/>
              <w:t>a</w:t>
            </w:r>
            <w:r w:rsidRPr="006B1319">
              <w:rPr>
                <w:rFonts w:eastAsia="Calibri" w:cs="Tahoma"/>
                <w:lang w:val="es-ES" w:eastAsia="en-US"/>
              </w:rPr>
              <w:tab/>
            </w:r>
            <w:r w:rsidRPr="006B1319">
              <w:t>(XXX)</w:t>
            </w:r>
            <w:r w:rsidRPr="006B1319">
              <w:tab/>
              <w:t xml:space="preserve">Cuentas representativas de los </w:t>
            </w:r>
            <w:r w:rsidRPr="006B1319">
              <w:tab/>
            </w:r>
            <w:r w:rsidRPr="006B1319">
              <w:tab/>
            </w:r>
            <w:r w:rsidRPr="006B1319">
              <w:tab/>
            </w:r>
            <w:r w:rsidRPr="006B1319">
              <w:tab/>
            </w:r>
            <w:r w:rsidRPr="006B1319">
              <w:tab/>
              <w:t>ingresos</w:t>
            </w:r>
          </w:p>
        </w:tc>
        <w:tc>
          <w:tcPr>
            <w:tcW w:w="160" w:type="dxa"/>
          </w:tcPr>
          <w:p w14:paraId="6E74F400" w14:textId="77777777" w:rsidR="00AF250B" w:rsidRPr="006B1319" w:rsidRDefault="00AF250B" w:rsidP="0068477F">
            <w:pPr>
              <w:widowControl w:val="0"/>
              <w:spacing w:after="60" w:line="259" w:lineRule="auto"/>
              <w:rPr>
                <w:rFonts w:eastAsia="Calibri" w:cs="Tahoma"/>
                <w:lang w:val="es-ES" w:eastAsia="en-US"/>
              </w:rPr>
            </w:pPr>
          </w:p>
        </w:tc>
      </w:tr>
      <w:tr w:rsidR="00AF250B" w:rsidRPr="006B1319" w14:paraId="4587AE19" w14:textId="77777777" w:rsidTr="0068477F">
        <w:trPr>
          <w:cantSplit/>
          <w:jc w:val="right"/>
        </w:trPr>
        <w:tc>
          <w:tcPr>
            <w:tcW w:w="160" w:type="dxa"/>
          </w:tcPr>
          <w:p w14:paraId="79D3BB7F" w14:textId="77777777" w:rsidR="00AF250B" w:rsidRPr="006B1319" w:rsidRDefault="00AF250B" w:rsidP="0068477F">
            <w:pPr>
              <w:widowControl w:val="0"/>
              <w:spacing w:before="120" w:after="160" w:line="259" w:lineRule="auto"/>
              <w:rPr>
                <w:rFonts w:eastAsia="Calibri" w:cs="Tahoma"/>
                <w:lang w:val="es-ES" w:eastAsia="en-US"/>
              </w:rPr>
            </w:pPr>
          </w:p>
        </w:tc>
        <w:tc>
          <w:tcPr>
            <w:tcW w:w="8081" w:type="dxa"/>
          </w:tcPr>
          <w:p w14:paraId="4ACCFEC2"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355629A0" w14:textId="77777777" w:rsidR="00AF250B" w:rsidRPr="006B1319" w:rsidRDefault="00AF250B" w:rsidP="0068477F">
            <w:pPr>
              <w:widowControl w:val="0"/>
              <w:spacing w:before="120" w:after="160" w:line="259" w:lineRule="auto"/>
              <w:rPr>
                <w:rFonts w:eastAsia="Calibri" w:cs="Tahoma"/>
                <w:lang w:val="es-ES" w:eastAsia="en-US"/>
              </w:rPr>
            </w:pPr>
          </w:p>
        </w:tc>
      </w:tr>
    </w:tbl>
    <w:p w14:paraId="012EE029" w14:textId="77777777" w:rsidR="00AF250B" w:rsidRPr="006B1319" w:rsidRDefault="00AF250B" w:rsidP="00AF250B">
      <w:pPr>
        <w:widowControl w:val="0"/>
        <w:tabs>
          <w:tab w:val="left" w:pos="284"/>
          <w:tab w:val="left" w:pos="567"/>
          <w:tab w:val="left" w:pos="851"/>
          <w:tab w:val="left" w:pos="1134"/>
          <w:tab w:val="left" w:pos="1162"/>
          <w:tab w:val="left" w:pos="1418"/>
        </w:tabs>
        <w:spacing w:before="240" w:after="240"/>
        <w:jc w:val="both"/>
        <w:rPr>
          <w:rFonts w:cs="Arial"/>
        </w:rPr>
      </w:pPr>
      <w:r w:rsidRPr="006B1319">
        <w:rPr>
          <w:rFonts w:cs="Arial"/>
        </w:rPr>
        <w:t xml:space="preserve">En la contabilidad del ejercicio siguiente, la aplicación definitiva de dichas autoliquidaciones recaudadas </w:t>
      </w:r>
      <w:r w:rsidRPr="006B1319">
        <w:rPr>
          <w:rFonts w:cs="Arial"/>
        </w:rPr>
        <w:lastRenderedPageBreak/>
        <w:t>en el ejercicio anterior se efectuará mediante la siguiente anotación:</w:t>
      </w:r>
    </w:p>
    <w:tbl>
      <w:tblPr>
        <w:tblW w:w="8364" w:type="dxa"/>
        <w:jc w:val="right"/>
        <w:tblLayout w:type="fixed"/>
        <w:tblCellMar>
          <w:left w:w="70" w:type="dxa"/>
          <w:right w:w="70" w:type="dxa"/>
        </w:tblCellMar>
        <w:tblLook w:val="0000" w:firstRow="0" w:lastRow="0" w:firstColumn="0" w:lastColumn="0" w:noHBand="0" w:noVBand="0"/>
      </w:tblPr>
      <w:tblGrid>
        <w:gridCol w:w="160"/>
        <w:gridCol w:w="8044"/>
        <w:gridCol w:w="160"/>
      </w:tblGrid>
      <w:tr w:rsidR="00AF250B" w:rsidRPr="006B1319" w14:paraId="568B3C31" w14:textId="77777777" w:rsidTr="0068477F">
        <w:trPr>
          <w:cantSplit/>
          <w:trHeight w:val="375"/>
          <w:jc w:val="right"/>
        </w:trPr>
        <w:tc>
          <w:tcPr>
            <w:tcW w:w="160" w:type="dxa"/>
          </w:tcPr>
          <w:p w14:paraId="7E5A27A8" w14:textId="77777777" w:rsidR="00AF250B" w:rsidRPr="006B1319" w:rsidRDefault="00AF250B" w:rsidP="0068477F">
            <w:pPr>
              <w:widowControl w:val="0"/>
              <w:spacing w:before="120" w:after="160" w:line="259" w:lineRule="auto"/>
              <w:rPr>
                <w:rFonts w:eastAsia="Calibri" w:cs="Tahoma"/>
                <w:lang w:val="es-ES" w:eastAsia="en-US"/>
              </w:rPr>
            </w:pPr>
          </w:p>
        </w:tc>
        <w:tc>
          <w:tcPr>
            <w:tcW w:w="8044" w:type="dxa"/>
          </w:tcPr>
          <w:p w14:paraId="63B06306"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00D3C077" w14:textId="77777777" w:rsidR="00AF250B" w:rsidRPr="006B1319" w:rsidRDefault="00AF250B" w:rsidP="0068477F">
            <w:pPr>
              <w:widowControl w:val="0"/>
              <w:spacing w:before="120" w:after="160" w:line="259" w:lineRule="auto"/>
              <w:rPr>
                <w:rFonts w:eastAsia="Calibri" w:cs="Tahoma"/>
                <w:lang w:val="es-ES" w:eastAsia="en-US"/>
              </w:rPr>
            </w:pPr>
          </w:p>
        </w:tc>
      </w:tr>
      <w:tr w:rsidR="00AF250B" w:rsidRPr="006B1319" w14:paraId="50944844" w14:textId="77777777" w:rsidTr="0068477F">
        <w:trPr>
          <w:cantSplit/>
          <w:jc w:val="right"/>
        </w:trPr>
        <w:tc>
          <w:tcPr>
            <w:tcW w:w="160" w:type="dxa"/>
          </w:tcPr>
          <w:p w14:paraId="36910F06" w14:textId="77777777" w:rsidR="00AF250B" w:rsidRPr="006B1319" w:rsidRDefault="00AF250B" w:rsidP="0068477F">
            <w:pPr>
              <w:widowControl w:val="0"/>
              <w:spacing w:after="60" w:line="259" w:lineRule="auto"/>
              <w:jc w:val="right"/>
              <w:rPr>
                <w:rFonts w:eastAsia="Calibri" w:cs="Tahoma"/>
                <w:lang w:val="es-ES" w:eastAsia="en-US"/>
              </w:rPr>
            </w:pPr>
          </w:p>
        </w:tc>
        <w:tc>
          <w:tcPr>
            <w:tcW w:w="8044" w:type="dxa"/>
          </w:tcPr>
          <w:p w14:paraId="75FA3BB5" w14:textId="77777777" w:rsidR="00AF250B" w:rsidRPr="006B1319" w:rsidRDefault="00AF250B" w:rsidP="0068477F">
            <w:pPr>
              <w:widowControl w:val="0"/>
              <w:tabs>
                <w:tab w:val="left" w:pos="564"/>
                <w:tab w:val="left" w:pos="3899"/>
                <w:tab w:val="left" w:pos="4306"/>
                <w:tab w:val="left" w:pos="4585"/>
              </w:tabs>
              <w:spacing w:after="60" w:line="259" w:lineRule="auto"/>
              <w:jc w:val="both"/>
            </w:pPr>
            <w:r w:rsidRPr="006B1319">
              <w:t>(554)</w:t>
            </w:r>
            <w:r w:rsidRPr="006B1319">
              <w:tab/>
              <w:t>Cobros pendientes de aplicación</w:t>
            </w:r>
            <w:r w:rsidRPr="006B1319">
              <w:rPr>
                <w:rFonts w:eastAsia="Calibri" w:cs="Tahoma"/>
                <w:lang w:val="es-ES" w:eastAsia="en-US"/>
              </w:rPr>
              <w:tab/>
              <w:t>a</w:t>
            </w:r>
            <w:r w:rsidRPr="006B1319">
              <w:rPr>
                <w:rFonts w:eastAsia="Calibri" w:cs="Tahoma"/>
                <w:lang w:val="es-ES" w:eastAsia="en-US"/>
              </w:rPr>
              <w:tab/>
            </w:r>
            <w:r w:rsidRPr="006B1319">
              <w:t>(430X)</w:t>
            </w:r>
            <w:r w:rsidRPr="006B1319">
              <w:tab/>
              <w:t xml:space="preserve">D.D.R. Presupuesto de ingresos </w:t>
            </w:r>
            <w:r w:rsidRPr="006B1319">
              <w:tab/>
            </w:r>
            <w:r w:rsidRPr="006B1319">
              <w:tab/>
            </w:r>
            <w:r w:rsidRPr="006B1319">
              <w:tab/>
            </w:r>
            <w:r w:rsidRPr="006B1319">
              <w:tab/>
            </w:r>
            <w:r w:rsidRPr="006B1319">
              <w:tab/>
              <w:t>corriente</w:t>
            </w:r>
          </w:p>
        </w:tc>
        <w:tc>
          <w:tcPr>
            <w:tcW w:w="160" w:type="dxa"/>
          </w:tcPr>
          <w:p w14:paraId="1BD1897D" w14:textId="77777777" w:rsidR="00AF250B" w:rsidRPr="006B1319" w:rsidRDefault="00AF250B" w:rsidP="0068477F">
            <w:pPr>
              <w:widowControl w:val="0"/>
              <w:spacing w:after="60" w:line="259" w:lineRule="auto"/>
              <w:rPr>
                <w:rFonts w:eastAsia="Calibri" w:cs="Tahoma"/>
                <w:lang w:val="es-ES" w:eastAsia="en-US"/>
              </w:rPr>
            </w:pPr>
          </w:p>
        </w:tc>
      </w:tr>
      <w:tr w:rsidR="00AF250B" w:rsidRPr="006B1319" w14:paraId="4AF7D463" w14:textId="77777777" w:rsidTr="0068477F">
        <w:trPr>
          <w:cantSplit/>
          <w:jc w:val="right"/>
        </w:trPr>
        <w:tc>
          <w:tcPr>
            <w:tcW w:w="160" w:type="dxa"/>
          </w:tcPr>
          <w:p w14:paraId="63A539F5" w14:textId="77777777" w:rsidR="00AF250B" w:rsidRPr="006B1319" w:rsidRDefault="00AF250B" w:rsidP="0068477F">
            <w:pPr>
              <w:widowControl w:val="0"/>
              <w:spacing w:before="120" w:after="160" w:line="259" w:lineRule="auto"/>
              <w:rPr>
                <w:rFonts w:eastAsia="Calibri" w:cs="Tahoma"/>
                <w:lang w:val="es-ES" w:eastAsia="en-US"/>
              </w:rPr>
            </w:pPr>
          </w:p>
        </w:tc>
        <w:tc>
          <w:tcPr>
            <w:tcW w:w="8044" w:type="dxa"/>
          </w:tcPr>
          <w:p w14:paraId="54AD635D"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1AC9CE30" w14:textId="77777777" w:rsidR="00AF250B" w:rsidRPr="006B1319" w:rsidRDefault="00AF250B" w:rsidP="0068477F">
            <w:pPr>
              <w:widowControl w:val="0"/>
              <w:spacing w:before="120" w:after="160" w:line="259" w:lineRule="auto"/>
              <w:rPr>
                <w:rFonts w:eastAsia="Calibri" w:cs="Tahoma"/>
                <w:lang w:val="es-ES" w:eastAsia="en-US"/>
              </w:rPr>
            </w:pPr>
          </w:p>
        </w:tc>
      </w:tr>
      <w:tr w:rsidR="00AF250B" w:rsidRPr="006B1319" w14:paraId="51039D9D" w14:textId="77777777" w:rsidTr="0068477F">
        <w:trPr>
          <w:cantSplit/>
          <w:jc w:val="right"/>
        </w:trPr>
        <w:tc>
          <w:tcPr>
            <w:tcW w:w="160" w:type="dxa"/>
          </w:tcPr>
          <w:p w14:paraId="209BC8B6" w14:textId="77777777" w:rsidR="00AF250B" w:rsidRPr="006B1319" w:rsidRDefault="00AF250B" w:rsidP="0068477F">
            <w:pPr>
              <w:widowControl w:val="0"/>
              <w:spacing w:after="60" w:line="259" w:lineRule="auto"/>
              <w:jc w:val="right"/>
              <w:rPr>
                <w:rFonts w:eastAsia="Calibri" w:cs="Tahoma"/>
                <w:lang w:val="es-ES" w:eastAsia="en-US"/>
              </w:rPr>
            </w:pPr>
          </w:p>
        </w:tc>
        <w:tc>
          <w:tcPr>
            <w:tcW w:w="8044" w:type="dxa"/>
            <w:vAlign w:val="center"/>
          </w:tcPr>
          <w:p w14:paraId="136FB36E" w14:textId="77777777" w:rsidR="00AF250B" w:rsidRPr="006B1319" w:rsidRDefault="00AF250B" w:rsidP="0068477F">
            <w:pPr>
              <w:widowControl w:val="0"/>
              <w:tabs>
                <w:tab w:val="left" w:pos="564"/>
              </w:tabs>
              <w:spacing w:after="60" w:line="20" w:lineRule="atLeast"/>
            </w:pPr>
            <w:r w:rsidRPr="006B1319">
              <w:t>(430X)</w:t>
            </w:r>
            <w:r w:rsidRPr="006B1319">
              <w:tab/>
              <w:t>D.D.R. Presupuesto de ingresos corriente</w:t>
            </w:r>
          </w:p>
          <w:p w14:paraId="3F43371D" w14:textId="77777777" w:rsidR="00AF250B" w:rsidRPr="006B1319" w:rsidRDefault="00AF250B" w:rsidP="0068477F">
            <w:pPr>
              <w:widowControl w:val="0"/>
              <w:tabs>
                <w:tab w:val="left" w:pos="579"/>
              </w:tabs>
              <w:spacing w:line="20" w:lineRule="atLeast"/>
              <w:rPr>
                <w:rFonts w:eastAsia="Calibri" w:cs="Tahoma"/>
                <w:lang w:val="es-ES" w:eastAsia="en-US"/>
              </w:rPr>
            </w:pPr>
          </w:p>
          <w:p w14:paraId="10A61733" w14:textId="77777777" w:rsidR="00AF250B" w:rsidRPr="006B1319" w:rsidRDefault="00AF250B" w:rsidP="0068477F">
            <w:pPr>
              <w:widowControl w:val="0"/>
              <w:tabs>
                <w:tab w:val="left" w:pos="3881"/>
                <w:tab w:val="left" w:pos="4165"/>
                <w:tab w:val="left" w:pos="4732"/>
              </w:tabs>
              <w:spacing w:after="160" w:line="20" w:lineRule="atLeast"/>
              <w:ind w:left="2126"/>
              <w:rPr>
                <w:rFonts w:eastAsia="Calibri" w:cs="Tahoma"/>
                <w:lang w:val="es-ES" w:eastAsia="en-US"/>
              </w:rPr>
            </w:pPr>
            <w:r w:rsidRPr="006B1319">
              <w:rPr>
                <w:rFonts w:eastAsia="Calibri" w:cs="Tahoma"/>
                <w:lang w:val="es-ES" w:eastAsia="en-US"/>
              </w:rPr>
              <w:tab/>
              <w:t>a</w:t>
            </w:r>
            <w:r w:rsidRPr="006B1319">
              <w:rPr>
                <w:rFonts w:eastAsia="Calibri" w:cs="Tahoma"/>
                <w:lang w:val="es-ES" w:eastAsia="en-US"/>
              </w:rPr>
              <w:tab/>
            </w:r>
            <w:r w:rsidRPr="006B1319">
              <w:t>(441)</w:t>
            </w:r>
            <w:r w:rsidRPr="006B1319">
              <w:tab/>
              <w:t>Deudores por ingresos devengados</w:t>
            </w:r>
          </w:p>
        </w:tc>
        <w:tc>
          <w:tcPr>
            <w:tcW w:w="160" w:type="dxa"/>
          </w:tcPr>
          <w:p w14:paraId="4ED4B3D4" w14:textId="77777777" w:rsidR="00AF250B" w:rsidRPr="006B1319" w:rsidRDefault="00AF250B" w:rsidP="0068477F">
            <w:pPr>
              <w:widowControl w:val="0"/>
              <w:spacing w:after="60" w:line="259" w:lineRule="auto"/>
              <w:rPr>
                <w:rFonts w:eastAsia="Calibri" w:cs="Tahoma"/>
                <w:lang w:val="es-ES" w:eastAsia="en-US"/>
              </w:rPr>
            </w:pPr>
          </w:p>
        </w:tc>
      </w:tr>
      <w:tr w:rsidR="00AF250B" w:rsidRPr="006B1319" w14:paraId="13CD48E7" w14:textId="77777777" w:rsidTr="0068477F">
        <w:trPr>
          <w:cantSplit/>
          <w:jc w:val="right"/>
        </w:trPr>
        <w:tc>
          <w:tcPr>
            <w:tcW w:w="160" w:type="dxa"/>
          </w:tcPr>
          <w:p w14:paraId="12C26276" w14:textId="77777777" w:rsidR="00AF250B" w:rsidRPr="006B1319" w:rsidRDefault="00AF250B" w:rsidP="0068477F">
            <w:pPr>
              <w:widowControl w:val="0"/>
              <w:spacing w:before="120" w:after="160" w:line="259" w:lineRule="auto"/>
              <w:rPr>
                <w:rFonts w:eastAsia="Calibri" w:cs="Tahoma"/>
                <w:lang w:val="es-ES" w:eastAsia="en-US"/>
              </w:rPr>
            </w:pPr>
          </w:p>
        </w:tc>
        <w:tc>
          <w:tcPr>
            <w:tcW w:w="8044" w:type="dxa"/>
          </w:tcPr>
          <w:p w14:paraId="4647F4DA" w14:textId="77777777" w:rsidR="00AF250B" w:rsidRPr="006B1319" w:rsidRDefault="00AF250B" w:rsidP="0068477F">
            <w:pPr>
              <w:widowControl w:val="0"/>
              <w:spacing w:before="120" w:after="120" w:line="259" w:lineRule="auto"/>
              <w:jc w:val="center"/>
              <w:rPr>
                <w:rFonts w:eastAsia="Calibri" w:cs="Tahoma"/>
                <w:lang w:val="es-ES" w:eastAsia="en-US"/>
              </w:rPr>
            </w:pP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t>x</w:t>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r w:rsidRPr="006B1319">
              <w:rPr>
                <w:rFonts w:eastAsia="Calibri" w:cs="Tahoma"/>
                <w:lang w:val="es-ES" w:eastAsia="en-US"/>
              </w:rPr>
              <w:fldChar w:fldCharType="begin"/>
            </w:r>
            <w:r w:rsidRPr="006B1319">
              <w:rPr>
                <w:rFonts w:eastAsia="Calibri" w:cs="Tahoma"/>
                <w:lang w:val="es-ES" w:eastAsia="en-US"/>
              </w:rPr>
              <w:instrText>SYMBOL 190 \f "Symbol"</w:instrText>
            </w:r>
            <w:r w:rsidRPr="006B1319">
              <w:rPr>
                <w:rFonts w:eastAsia="Calibri" w:cs="Tahoma"/>
                <w:lang w:val="es-ES" w:eastAsia="en-US"/>
              </w:rPr>
              <w:fldChar w:fldCharType="end"/>
            </w:r>
          </w:p>
        </w:tc>
        <w:tc>
          <w:tcPr>
            <w:tcW w:w="160" w:type="dxa"/>
          </w:tcPr>
          <w:p w14:paraId="51891A93" w14:textId="77777777" w:rsidR="00AF250B" w:rsidRPr="006B1319" w:rsidRDefault="00AF250B" w:rsidP="0068477F">
            <w:pPr>
              <w:widowControl w:val="0"/>
              <w:spacing w:before="120" w:after="160" w:line="259" w:lineRule="auto"/>
              <w:rPr>
                <w:rFonts w:eastAsia="Calibri" w:cs="Tahoma"/>
                <w:lang w:val="es-ES" w:eastAsia="en-US"/>
              </w:rPr>
            </w:pPr>
          </w:p>
        </w:tc>
      </w:tr>
    </w:tbl>
    <w:p w14:paraId="4572950B" w14:textId="77777777" w:rsidR="00AF250B" w:rsidRPr="006B1319" w:rsidRDefault="00AF250B" w:rsidP="00AF250B">
      <w:pPr>
        <w:widowControl w:val="0"/>
        <w:rPr>
          <w:rFonts w:cs="Arial"/>
        </w:rPr>
      </w:pPr>
    </w:p>
    <w:p w14:paraId="57CC99A4" w14:textId="77777777" w:rsidR="002C1012" w:rsidRDefault="002C1012"/>
    <w:sectPr w:rsidR="002C1012" w:rsidSect="00AF250B">
      <w:headerReference w:type="default" r:id="rId11"/>
      <w:footerReference w:type="default" r:id="rId12"/>
      <w:footerReference w:type="first" r:id="rId13"/>
      <w:type w:val="continuous"/>
      <w:pgSz w:w="11901" w:h="16834" w:code="9"/>
      <w:pgMar w:top="1807" w:right="1128" w:bottom="1418" w:left="1418" w:header="720" w:footer="284"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8D9A" w14:textId="77777777" w:rsidR="00000000" w:rsidRDefault="001D3EC8">
      <w:pPr>
        <w:spacing w:after="0"/>
      </w:pPr>
      <w:r>
        <w:separator/>
      </w:r>
    </w:p>
  </w:endnote>
  <w:endnote w:type="continuationSeparator" w:id="0">
    <w:p w14:paraId="79C9EE22" w14:textId="77777777" w:rsidR="00000000" w:rsidRDefault="001D3E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D58C" w14:textId="77777777" w:rsidR="001E6045" w:rsidRDefault="001D3EC8">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DF8D" w14:textId="77777777" w:rsidR="001E6045" w:rsidRPr="000A7279" w:rsidRDefault="00AF250B" w:rsidP="000A7279">
    <w:pPr>
      <w:pStyle w:val="Piedepgina"/>
      <w:tabs>
        <w:tab w:val="clear" w:pos="4252"/>
        <w:tab w:val="left" w:pos="4536"/>
        <w:tab w:val="left" w:pos="6521"/>
      </w:tabs>
      <w:jc w:val="both"/>
      <w:rPr>
        <w:rFonts w:ascii="Arial" w:hAnsi="Arial"/>
        <w:color w:val="999999"/>
        <w:sz w:val="18"/>
        <w:lang w:val="es-ES"/>
      </w:rPr>
    </w:pPr>
    <w:r>
      <w:tab/>
    </w:r>
    <w:r>
      <w:fldChar w:fldCharType="begin"/>
    </w:r>
    <w:r>
      <w:instrText>PAGE   \* MERGEFORMAT</w:instrText>
    </w:r>
    <w:r>
      <w:fldChar w:fldCharType="separate"/>
    </w:r>
    <w:r w:rsidRPr="00BE7F28">
      <w:rPr>
        <w:noProof/>
        <w:lang w:val="es-ES"/>
      </w:rPr>
      <w:t>1</w:t>
    </w:r>
    <w:r>
      <w:fldChar w:fldCharType="end"/>
    </w:r>
    <w:r>
      <w:tab/>
    </w:r>
    <w:r w:rsidRPr="000A7279">
      <w:rPr>
        <w:rFonts w:ascii="Arial" w:hAnsi="Arial"/>
        <w:color w:val="999999"/>
        <w:sz w:val="18"/>
        <w:lang w:val="es-ES"/>
      </w:rPr>
      <w:t>Oficina Nacional de Contabilidad</w:t>
    </w:r>
  </w:p>
  <w:p w14:paraId="4804E32A" w14:textId="77777777" w:rsidR="001E6045" w:rsidRPr="000A7279" w:rsidRDefault="00AF250B" w:rsidP="000A7279">
    <w:pPr>
      <w:tabs>
        <w:tab w:val="center" w:pos="4252"/>
        <w:tab w:val="left" w:pos="6521"/>
        <w:tab w:val="right" w:pos="8504"/>
      </w:tabs>
      <w:jc w:val="both"/>
      <w:rPr>
        <w:rFonts w:ascii="Arial" w:hAnsi="Arial"/>
        <w:color w:val="999999"/>
        <w:sz w:val="18"/>
        <w:lang w:val="es-ES"/>
      </w:rPr>
    </w:pPr>
    <w:r w:rsidRPr="000A7279">
      <w:rPr>
        <w:rFonts w:ascii="Arial" w:hAnsi="Arial"/>
        <w:color w:val="999999"/>
        <w:sz w:val="18"/>
        <w:lang w:val="es-ES"/>
      </w:rPr>
      <w:tab/>
    </w:r>
    <w:r w:rsidRPr="000A7279">
      <w:rPr>
        <w:rFonts w:ascii="Arial" w:hAnsi="Arial"/>
        <w:color w:val="999999"/>
        <w:sz w:val="18"/>
        <w:lang w:val="es-ES"/>
      </w:rPr>
      <w:tab/>
      <w:t>Divisi</w:t>
    </w:r>
    <w:r>
      <w:rPr>
        <w:rFonts w:ascii="Arial" w:hAnsi="Arial"/>
        <w:color w:val="999999"/>
        <w:sz w:val="18"/>
        <w:lang w:val="es-ES"/>
      </w:rPr>
      <w:t>ón I: Planificación y Dirección</w:t>
    </w:r>
  </w:p>
  <w:p w14:paraId="7E8BA2E9" w14:textId="77777777" w:rsidR="001E6045" w:rsidRPr="000A7279" w:rsidRDefault="00AF250B" w:rsidP="000A7279">
    <w:pPr>
      <w:tabs>
        <w:tab w:val="center" w:pos="4252"/>
        <w:tab w:val="left" w:pos="6521"/>
        <w:tab w:val="right" w:pos="8504"/>
      </w:tabs>
      <w:jc w:val="both"/>
      <w:rPr>
        <w:rFonts w:ascii="Arial" w:hAnsi="Arial"/>
        <w:color w:val="999999"/>
        <w:sz w:val="18"/>
        <w:lang w:val="es-ES"/>
      </w:rPr>
    </w:pPr>
    <w:r w:rsidRPr="000A7279">
      <w:rPr>
        <w:rFonts w:ascii="Arial" w:hAnsi="Arial"/>
        <w:color w:val="999999"/>
        <w:sz w:val="18"/>
        <w:lang w:val="es-ES"/>
      </w:rPr>
      <w:tab/>
    </w:r>
    <w:r w:rsidRPr="000A7279">
      <w:rPr>
        <w:rFonts w:ascii="Arial" w:hAnsi="Arial"/>
        <w:color w:val="999999"/>
        <w:sz w:val="18"/>
        <w:lang w:val="es-ES"/>
      </w:rPr>
      <w:tab/>
      <w:t>de la Contabilidad Pública</w:t>
    </w:r>
  </w:p>
  <w:p w14:paraId="4DF5D0FC" w14:textId="77777777" w:rsidR="001E6045" w:rsidRDefault="001D3EC8" w:rsidP="000A7279">
    <w:pPr>
      <w:pStyle w:val="Piedepgina"/>
      <w:tabs>
        <w:tab w:val="clear" w:pos="4252"/>
        <w:tab w:val="left" w:pos="4678"/>
        <w:tab w:val="left" w:pos="6237"/>
        <w:tab w:val="left" w:pos="680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658FB" w14:textId="77777777" w:rsidR="00000000" w:rsidRDefault="001D3EC8">
      <w:pPr>
        <w:spacing w:after="0"/>
      </w:pPr>
      <w:r>
        <w:separator/>
      </w:r>
    </w:p>
  </w:footnote>
  <w:footnote w:type="continuationSeparator" w:id="0">
    <w:p w14:paraId="7BEB37E9" w14:textId="77777777" w:rsidR="00000000" w:rsidRDefault="001D3E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99F1" w14:textId="77777777" w:rsidR="001E6045" w:rsidRDefault="001D3EC8">
    <w:pPr>
      <w:pStyle w:val="Encabezado"/>
      <w:jc w:val="right"/>
    </w:pPr>
  </w:p>
  <w:p w14:paraId="796A9321" w14:textId="77777777" w:rsidR="001E6045" w:rsidRDefault="001D3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0E32"/>
    <w:multiLevelType w:val="hybridMultilevel"/>
    <w:tmpl w:val="743240CC"/>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D40EAC"/>
    <w:multiLevelType w:val="hybridMultilevel"/>
    <w:tmpl w:val="2DDA5B4E"/>
    <w:lvl w:ilvl="0" w:tplc="6CB4A26A">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0B"/>
    <w:rsid w:val="001D3EC8"/>
    <w:rsid w:val="002C1012"/>
    <w:rsid w:val="00343A38"/>
    <w:rsid w:val="003560C6"/>
    <w:rsid w:val="0036054A"/>
    <w:rsid w:val="00725B28"/>
    <w:rsid w:val="008741D1"/>
    <w:rsid w:val="00AE47BB"/>
    <w:rsid w:val="00AF250B"/>
    <w:rsid w:val="00B0683C"/>
    <w:rsid w:val="00B62588"/>
    <w:rsid w:val="00BF22F7"/>
    <w:rsid w:val="00EC2D0F"/>
    <w:rsid w:val="00EC467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B9A3"/>
  <w15:docId w15:val="{4B640897-EE90-436A-8CF3-2B0E1F14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C6"/>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60C6"/>
    <w:rPr>
      <w:color w:val="808080"/>
    </w:rPr>
  </w:style>
  <w:style w:type="paragraph" w:customStyle="1" w:styleId="Estilo3">
    <w:name w:val="Estilo3"/>
    <w:basedOn w:val="Normal"/>
    <w:qFormat/>
    <w:rsid w:val="003560C6"/>
    <w:pPr>
      <w:keepNext/>
      <w:shd w:val="clear" w:color="auto" w:fill="D9D9D9" w:themeFill="background1" w:themeFillShade="D9"/>
      <w:spacing w:before="240"/>
      <w:jc w:val="both"/>
      <w:outlineLvl w:val="0"/>
    </w:pPr>
    <w:rPr>
      <w:rFonts w:eastAsia="Times New Roman" w:cs="Times New Roman"/>
      <w:b/>
      <w:bCs/>
      <w:kern w:val="32"/>
      <w:szCs w:val="32"/>
      <w:lang w:val="es-ES" w:eastAsia="es-ES"/>
    </w:rPr>
  </w:style>
  <w:style w:type="paragraph" w:styleId="Textodeglobo">
    <w:name w:val="Balloon Text"/>
    <w:basedOn w:val="Normal"/>
    <w:link w:val="TextodegloboCar"/>
    <w:uiPriority w:val="99"/>
    <w:semiHidden/>
    <w:unhideWhenUsed/>
    <w:rsid w:val="003560C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0C6"/>
    <w:rPr>
      <w:rFonts w:ascii="Tahoma" w:hAnsi="Tahoma" w:cs="Tahoma"/>
      <w:sz w:val="16"/>
      <w:szCs w:val="16"/>
    </w:rPr>
  </w:style>
  <w:style w:type="paragraph" w:styleId="Encabezado">
    <w:name w:val="header"/>
    <w:basedOn w:val="Normal"/>
    <w:link w:val="EncabezadoCar"/>
    <w:rsid w:val="00AF250B"/>
    <w:pPr>
      <w:tabs>
        <w:tab w:val="center" w:pos="4252"/>
        <w:tab w:val="right" w:pos="8504"/>
      </w:tabs>
      <w:spacing w:after="0"/>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AF250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AF250B"/>
    <w:pPr>
      <w:tabs>
        <w:tab w:val="center" w:pos="4252"/>
        <w:tab w:val="right" w:pos="8504"/>
      </w:tabs>
      <w:spacing w:after="0"/>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AF250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C1E8048F074EF0B9AE5FC64C4ABD8B"/>
        <w:category>
          <w:name w:val="General"/>
          <w:gallery w:val="placeholder"/>
        </w:category>
        <w:types>
          <w:type w:val="bbPlcHdr"/>
        </w:types>
        <w:behaviors>
          <w:behavior w:val="content"/>
        </w:behaviors>
        <w:guid w:val="{36BF8635-972E-4F4A-BEE6-71E6B1BC91FC}"/>
      </w:docPartPr>
      <w:docPartBody>
        <w:p w:rsidR="004F1E31" w:rsidRDefault="004F1E31">
          <w:pPr>
            <w:pStyle w:val="AAC1E8048F074EF0B9AE5FC64C4ABD8B"/>
          </w:pPr>
          <w:r w:rsidRPr="00CD4F3B">
            <w:rPr>
              <w:rStyle w:val="Textodelmarcadordeposicin"/>
            </w:rPr>
            <w:t>[FechaEmision]</w:t>
          </w:r>
        </w:p>
      </w:docPartBody>
    </w:docPart>
    <w:docPart>
      <w:docPartPr>
        <w:name w:val="3A11538F91614F86BB7A3CF6BE0CB043"/>
        <w:category>
          <w:name w:val="General"/>
          <w:gallery w:val="placeholder"/>
        </w:category>
        <w:types>
          <w:type w:val="bbPlcHdr"/>
        </w:types>
        <w:behaviors>
          <w:behavior w:val="content"/>
        </w:behaviors>
        <w:guid w:val="{8420CD40-3657-4911-82F4-0A3561EE2BCA}"/>
      </w:docPartPr>
      <w:docPartBody>
        <w:p w:rsidR="004F1E31" w:rsidRDefault="004F1E31">
          <w:pPr>
            <w:pStyle w:val="3A11538F91614F86BB7A3CF6BE0CB043"/>
          </w:pPr>
          <w:r w:rsidRPr="00CD4F3B">
            <w:rPr>
              <w:rStyle w:val="Textodelmarcadordeposicin"/>
            </w:rPr>
            <w:t>[OrganoEmisor]</w:t>
          </w:r>
        </w:p>
      </w:docPartBody>
    </w:docPart>
    <w:docPart>
      <w:docPartPr>
        <w:name w:val="DAAD58513891406F9F5AA46A00252539"/>
        <w:category>
          <w:name w:val="General"/>
          <w:gallery w:val="placeholder"/>
        </w:category>
        <w:types>
          <w:type w:val="bbPlcHdr"/>
        </w:types>
        <w:behaviors>
          <w:behavior w:val="content"/>
        </w:behaviors>
        <w:guid w:val="{6708BAAA-6DBF-454B-80F5-D32805AABBD6}"/>
      </w:docPartPr>
      <w:docPartBody>
        <w:p w:rsidR="004F1E31" w:rsidRDefault="004F1E31">
          <w:pPr>
            <w:pStyle w:val="DAAD58513891406F9F5AA46A00252539"/>
          </w:pPr>
          <w:r w:rsidRPr="00CD4F3B">
            <w:rPr>
              <w:rStyle w:val="Textodelmarcadordeposicin"/>
            </w:rPr>
            <w:t>[Publicacion]</w:t>
          </w:r>
        </w:p>
      </w:docPartBody>
    </w:docPart>
    <w:docPart>
      <w:docPartPr>
        <w:name w:val="EB90FA43F9E441AAB3F916DA1CCB713E"/>
        <w:category>
          <w:name w:val="General"/>
          <w:gallery w:val="placeholder"/>
        </w:category>
        <w:types>
          <w:type w:val="bbPlcHdr"/>
        </w:types>
        <w:behaviors>
          <w:behavior w:val="content"/>
        </w:behaviors>
        <w:guid w:val="{03FC02F2-BCD5-466C-B5C6-046D48F8F20D}"/>
      </w:docPartPr>
      <w:docPartBody>
        <w:p w:rsidR="004F1E31" w:rsidRDefault="004F1E31">
          <w:pPr>
            <w:pStyle w:val="EB90FA43F9E441AAB3F916DA1CCB713E"/>
          </w:pPr>
          <w:r w:rsidRPr="00CD4F3B">
            <w:rPr>
              <w:rStyle w:val="Textodelmarcadordeposicin"/>
            </w:rPr>
            <w:t>[TituloInforme]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31"/>
    <w:rsid w:val="004F1E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AAC1E8048F074EF0B9AE5FC64C4ABD8B">
    <w:name w:val="AAC1E8048F074EF0B9AE5FC64C4ABD8B"/>
  </w:style>
  <w:style w:type="paragraph" w:customStyle="1" w:styleId="3A11538F91614F86BB7A3CF6BE0CB043">
    <w:name w:val="3A11538F91614F86BB7A3CF6BE0CB043"/>
  </w:style>
  <w:style w:type="paragraph" w:customStyle="1" w:styleId="DAAD58513891406F9F5AA46A00252539">
    <w:name w:val="DAAD58513891406F9F5AA46A00252539"/>
  </w:style>
  <w:style w:type="paragraph" w:customStyle="1" w:styleId="EB90FA43F9E441AAB3F916DA1CCB713E">
    <w:name w:val="EB90FA43F9E441AAB3F916DA1CCB7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Dic" ma:contentTypeID="0x01010007371B4BC41D95498351DA2DB2F21B8A00F886D6B8619F9A46A6BDCD86B041CC2F" ma:contentTypeVersion="11" ma:contentTypeDescription="" ma:contentTypeScope="" ma:versionID="d1b690ef7a678497f63289decfee86ce">
  <xsd:schema xmlns:xsd="http://www.w3.org/2001/XMLSchema" xmlns:xs="http://www.w3.org/2001/XMLSchema" xmlns:p="http://schemas.microsoft.com/office/2006/metadata/properties" xmlns:ns2="5305e957-1fed-402c-9ece-fb829f0b190f" targetNamespace="http://schemas.microsoft.com/office/2006/metadata/properties" ma:root="true" ma:fieldsID="d347d1c61f08857c9a3792e2a10d8a07" ns2:_="">
    <xsd:import namespace="5305e957-1fed-402c-9ece-fb829f0b190f"/>
    <xsd:element name="properties">
      <xsd:complexType>
        <xsd:sequence>
          <xsd:element name="documentManagement">
            <xsd:complexType>
              <xsd:all>
                <xsd:element ref="ns2:FechaEmision" minOccurs="0"/>
                <xsd:element ref="ns2:f3a4dcbeeb8f4ee8b4eaebbb041c230f" minOccurs="0"/>
                <xsd:element ref="ns2:TaxCatchAll" minOccurs="0"/>
                <xsd:element ref="ns2:TaxCatchAllLabel" minOccurs="0"/>
                <xsd:element ref="ns2:Publicacion" minOccurs="0"/>
                <xsd:element ref="ns2:TituloInforme" minOccurs="0"/>
                <xsd:element ref="ns2:f3b36865c6f14e4c80e5313f83753a3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5e957-1fed-402c-9ece-fb829f0b190f" elementFormDefault="qualified">
    <xsd:import namespace="http://schemas.microsoft.com/office/2006/documentManagement/types"/>
    <xsd:import namespace="http://schemas.microsoft.com/office/infopath/2007/PartnerControls"/>
    <xsd:element name="FechaEmision" ma:index="8" nillable="true" ma:displayName="FechaEmision" ma:format="DateOnly" ma:indexed="true" ma:internalName="FechaEmision">
      <xsd:simpleType>
        <xsd:restriction base="dms:DateTime"/>
      </xsd:simpleType>
    </xsd:element>
    <xsd:element name="f3a4dcbeeb8f4ee8b4eaebbb041c230f" ma:index="9" nillable="true" ma:taxonomy="true" ma:internalName="f3a4dcbeeb8f4ee8b4eaebbb041c230f" ma:taxonomyFieldName="OrganoEmisor" ma:displayName="OrganoEmisor" ma:default="" ma:fieldId="{f3a4dcbe-eb8f-4ee8-b4ea-ebbb041c230f}" ma:taxonomyMulti="true" ma:sspId="31bff231-9e26-4737-b496-72afb8c20d02" ma:termSetId="ed97fb9c-c052-4bdb-b2fb-46732baf7122"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54ed9561-9115-4539-bbde-1118d3104f44}" ma:internalName="TaxCatchAll" ma:showField="CatchAllData" ma:web="5305e957-1fed-402c-9ece-fb829f0b190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Columna global de taxonomía1" ma:hidden="true" ma:list="{54ed9561-9115-4539-bbde-1118d3104f44}" ma:internalName="TaxCatchAllLabel" ma:readOnly="true" ma:showField="CatchAllDataLabel" ma:web="5305e957-1fed-402c-9ece-fb829f0b190f">
      <xsd:complexType>
        <xsd:complexContent>
          <xsd:extension base="dms:MultiChoiceLookup">
            <xsd:sequence>
              <xsd:element name="Value" type="dms:Lookup" maxOccurs="unbounded" minOccurs="0" nillable="true"/>
            </xsd:sequence>
          </xsd:extension>
        </xsd:complexContent>
      </xsd:complexType>
    </xsd:element>
    <xsd:element name="Publicacion" ma:index="13" nillable="true" ma:displayName="Publicacion" ma:indexed="true" ma:internalName="Publicacion">
      <xsd:simpleType>
        <xsd:restriction base="dms:Text">
          <xsd:maxLength value="255"/>
        </xsd:restriction>
      </xsd:simpleType>
    </xsd:element>
    <xsd:element name="TituloInforme" ma:index="14" nillable="true" ma:displayName="TituloInforme" ma:internalName="TituloInforme">
      <xsd:simpleType>
        <xsd:restriction base="dms:Note"/>
      </xsd:simpleType>
    </xsd:element>
    <xsd:element name="f3b36865c6f14e4c80e5313f83753a3f" ma:index="15" nillable="true" ma:taxonomy="true" ma:internalName="f3b36865c6f14e4c80e5313f83753a3f" ma:taxonomyFieldName="Descriptores" ma:displayName="Descriptores" ma:readOnly="false" ma:default="" ma:fieldId="{f3b36865-c6f1-4e4c-80e5-313f83753a3f}" ma:taxonomyMulti="true" ma:sspId="31bff231-9e26-4737-b496-72afb8c20d02" ma:termSetId="4eee760c-af22-4982-90a2-2097a92ace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a4dcbeeb8f4ee8b4eaebbb041c230f xmlns="5305e957-1fed-402c-9ece-fb829f0b190f">
      <Terms xmlns="http://schemas.microsoft.com/office/infopath/2007/PartnerControls">
        <TermInfo xmlns="http://schemas.microsoft.com/office/infopath/2007/PartnerControls">
          <TermName>INTERVENCIÓN GENERAL DE LA ADMINISTRACIÓN DEL ESTADO</TermName>
          <TermId>f21d6e4d-04fb-48b6-9d45-396c26a66c24</TermId>
        </TermInfo>
      </Terms>
    </f3a4dcbeeb8f4ee8b4eaebbb041c230f>
    <f3b36865c6f14e4c80e5313f83753a3f xmlns="5305e957-1fed-402c-9ece-fb829f0b190f">
      <Terms xmlns="http://schemas.microsoft.com/office/infopath/2007/PartnerControls">
        <TermInfo xmlns="http://schemas.microsoft.com/office/infopath/2007/PartnerControls">
          <TermName>ADMINISTRACIÓN LOCAL</TermName>
          <TermId>9b349299-efc0-461a-8392-2fbae6b76333</TermId>
        </TermInfo>
        <TermInfo xmlns="http://schemas.microsoft.com/office/infopath/2007/PartnerControls">
          <TermName>ENTIDADES DE CRÉDITO</TermName>
          <TermId>a6504e3a-bbf5-45fe-8a9c-f5f6e5b97402</TermId>
        </TermInfo>
        <TermInfo xmlns="http://schemas.microsoft.com/office/infopath/2007/PartnerControls">
          <TermName>INGRESOS</TermName>
          <TermId>1a051903-a56f-4a40-887d-a277e3c4b6e4</TermId>
        </TermInfo>
        <TermInfo xmlns="http://schemas.microsoft.com/office/infopath/2007/PartnerControls">
          <TermName>TRIBUTOS</TermName>
          <TermId>a3a1a2e8-0752-4d03-ad9b-4894eb52d768</TermId>
        </TermInfo>
        <TermInfo xmlns="http://schemas.microsoft.com/office/infopath/2007/PartnerControls">
          <TermName>RECAUDACIÓN</TermName>
          <TermId>c8be8c9d-0b90-478b-aa55-5d6b8ebdd666</TermId>
        </TermInfo>
      </Terms>
    </f3b36865c6f14e4c80e5313f83753a3f>
    <TituloInforme xmlns="5305e957-1fed-402c-9ece-fb829f0b190f">Consulta 1/2017 (PGCPL), de 13 de febrero, sobre si las cuentas restringidas en Entidades financieras Colaboradoras deben figurar en la contabilidad municipal.</TituloInforme>
    <TaxCatchAll xmlns="5305e957-1fed-402c-9ece-fb829f0b190f">
      <Value>84</Value>
      <Value>50</Value>
      <Value>230</Value>
      <Value>515</Value>
      <Value>55</Value>
      <Value>52</Value>
    </TaxCatchAll>
    <FechaEmision xmlns="5305e957-1fed-402c-9ece-fb829f0b190f">2017-02-12T23:00:00+00:00</FechaEmision>
    <Publicacion xmlns="5305e957-1fed-402c-9ece-fb829f0b190f">BOLETÍN INFORMATIVO DE LA IGAE</Publica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EF45-D5B7-4724-A136-9EFC142EB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5e957-1fed-402c-9ece-fb829f0b1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BC5B1-CFAD-49A4-8552-EDACEF2EA901}">
  <ds:schemaRefs>
    <ds:schemaRef ds:uri="http://schemas.microsoft.com/sharepoint/v3/contenttype/forms"/>
  </ds:schemaRefs>
</ds:datastoreItem>
</file>

<file path=customXml/itemProps3.xml><?xml version="1.0" encoding="utf-8"?>
<ds:datastoreItem xmlns:ds="http://schemas.openxmlformats.org/officeDocument/2006/customXml" ds:itemID="{D96A8AC4-37BB-4A43-8CDB-F362B390953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305e957-1fed-402c-9ece-fb829f0b190f"/>
    <ds:schemaRef ds:uri="http://www.w3.org/XML/1998/namespace"/>
  </ds:schemaRefs>
</ds:datastoreItem>
</file>

<file path=customXml/itemProps4.xml><?xml version="1.0" encoding="utf-8"?>
<ds:datastoreItem xmlns:ds="http://schemas.openxmlformats.org/officeDocument/2006/customXml" ds:itemID="{55E1FDCE-B3AA-49B9-B307-6E8860E1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1287</Words>
  <Characters>7274</Characters>
  <Application>Microsoft Office Word</Application>
  <DocSecurity>0</DocSecurity>
  <Lines>165</Lines>
  <Paragraphs>52</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20170213</dc:title>
  <cp:revision>2</cp:revision>
  <dcterms:created xsi:type="dcterms:W3CDTF">2017-02-16T08:40:00Z</dcterms:created>
  <dcterms:modified xsi:type="dcterms:W3CDTF">2023-12-04T12:04:00Z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0x01010007371B4BC41D95498351DA2DB2F21B8A00F886D6B8619F9A46A6BDCD86B041CC2F</vt:lpwstr>
  </property>
  <property fmtid="{D5CDD505-2E9C-101B-9397-08002B2CF9AE}" pid="3" name="OrganoEmisor">
    <vt:lpwstr>230;#INTERVENCIÓN GENERAL DE LA ADMINISTRACIÓN DEL ESTADO|f21d6e4d-04fb-48b6-9d45-396c26a66c24</vt:lpwstr>
  </property>
  <property fmtid="{D5CDD505-2E9C-101B-9397-08002B2CF9AE}" pid="4" name="Descriptores">
    <vt:lpwstr>84;#ADMINISTRACIÓN LOCAL|9b349299-efc0-461a-8392-2fbae6b76333;#515;#ENTIDADES DE CRÉDITO|a6504e3a-bbf5-45fe-8a9c-f5f6e5b97402;#55;#INGRESOS|1a051903-a56f-4a40-887d-a277e3c4b6e4;#52;#TRIBUTOS|a3a1a2e8-0752-4d03-ad9b-4894eb52d768;#50;#RECAUDACIÓN|c8be8c9d-0b90-478b-aa55-5d6b8ebdd666</vt:lpwstr>
  </property>
</Properties>
</file>